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7FB5" w:rsidRPr="00987FB5" w:rsidRDefault="00987FB5" w:rsidP="000F21F9">
      <w:pPr>
        <w:jc w:val="center"/>
        <w:rPr>
          <w:rFonts w:ascii="Arial Narrow" w:hAnsi="Arial Narrow"/>
          <w:b/>
          <w:bCs/>
          <w:sz w:val="24"/>
          <w:szCs w:val="24"/>
        </w:rPr>
      </w:pPr>
      <w:r w:rsidRPr="00987FB5">
        <w:rPr>
          <w:rFonts w:ascii="Arial Narrow" w:hAnsi="Arial Narrow"/>
          <w:b/>
          <w:bCs/>
          <w:sz w:val="24"/>
          <w:szCs w:val="24"/>
        </w:rPr>
        <w:t>10 Myth busting facts about antibiotics and animal</w:t>
      </w:r>
      <w:r w:rsidR="005E0816">
        <w:rPr>
          <w:rFonts w:ascii="Arial Narrow" w:hAnsi="Arial Narrow"/>
          <w:b/>
          <w:bCs/>
          <w:sz w:val="24"/>
          <w:szCs w:val="24"/>
        </w:rPr>
        <w:t>s</w:t>
      </w:r>
    </w:p>
    <w:p w:rsidR="00987FB5" w:rsidRDefault="00987FB5" w:rsidP="000F21F9">
      <w:pPr>
        <w:jc w:val="both"/>
        <w:rPr>
          <w:rFonts w:ascii="Arial Narrow" w:hAnsi="Arial Narrow"/>
          <w:highlight w:val="yellow"/>
        </w:rPr>
      </w:pPr>
    </w:p>
    <w:p w:rsidR="00191A44" w:rsidRPr="00987FB5" w:rsidRDefault="00191A44" w:rsidP="000F21F9">
      <w:pPr>
        <w:jc w:val="both"/>
        <w:rPr>
          <w:rFonts w:ascii="Arial Narrow" w:hAnsi="Arial Narrow"/>
        </w:rPr>
      </w:pPr>
      <w:r w:rsidRPr="00987FB5">
        <w:rPr>
          <w:rFonts w:ascii="Arial Narrow" w:hAnsi="Arial Narrow"/>
          <w:highlight w:val="yellow"/>
        </w:rPr>
        <w:t>Myth</w:t>
      </w:r>
      <w:r w:rsidR="00187A60" w:rsidRPr="00987FB5">
        <w:rPr>
          <w:rFonts w:ascii="Arial Narrow" w:hAnsi="Arial Narrow"/>
          <w:highlight w:val="yellow"/>
        </w:rPr>
        <w:t xml:space="preserve"> 1</w:t>
      </w:r>
      <w:r w:rsidRPr="00987FB5">
        <w:rPr>
          <w:rFonts w:ascii="Arial Narrow" w:hAnsi="Arial Narrow"/>
          <w:highlight w:val="yellow"/>
        </w:rPr>
        <w:t xml:space="preserve"> </w:t>
      </w:r>
      <w:r w:rsidR="00D41140" w:rsidRPr="00987FB5">
        <w:rPr>
          <w:rFonts w:ascii="Arial Narrow" w:hAnsi="Arial Narrow"/>
          <w:highlight w:val="yellow"/>
        </w:rPr>
        <w:t>–</w:t>
      </w:r>
      <w:r w:rsidRPr="00987FB5">
        <w:rPr>
          <w:rFonts w:ascii="Arial Narrow" w:hAnsi="Arial Narrow"/>
          <w:highlight w:val="yellow"/>
        </w:rPr>
        <w:t xml:space="preserve"> </w:t>
      </w:r>
      <w:r w:rsidR="00D41140" w:rsidRPr="00987FB5">
        <w:rPr>
          <w:rFonts w:ascii="Arial Narrow" w:hAnsi="Arial Narrow"/>
        </w:rPr>
        <w:t>In the EU, f</w:t>
      </w:r>
      <w:r w:rsidRPr="00987FB5">
        <w:rPr>
          <w:rFonts w:ascii="Arial Narrow" w:hAnsi="Arial Narrow"/>
        </w:rPr>
        <w:t xml:space="preserve">arm animals </w:t>
      </w:r>
      <w:r w:rsidR="00D41140" w:rsidRPr="00987FB5">
        <w:rPr>
          <w:rFonts w:ascii="Arial Narrow" w:hAnsi="Arial Narrow"/>
        </w:rPr>
        <w:t>c</w:t>
      </w:r>
      <w:r w:rsidRPr="00987FB5">
        <w:rPr>
          <w:rFonts w:ascii="Arial Narrow" w:hAnsi="Arial Narrow"/>
        </w:rPr>
        <w:t>onsume more antibiotics than humans.</w:t>
      </w:r>
    </w:p>
    <w:p w:rsidR="00E144D5" w:rsidRPr="00987FB5" w:rsidRDefault="00E144D5" w:rsidP="000F21F9">
      <w:pPr>
        <w:jc w:val="both"/>
        <w:rPr>
          <w:rFonts w:ascii="Arial Narrow" w:hAnsi="Arial Narrow"/>
        </w:rPr>
      </w:pPr>
      <w:r w:rsidRPr="00987FB5">
        <w:rPr>
          <w:rFonts w:ascii="Arial Narrow" w:hAnsi="Arial Narrow"/>
          <w:highlight w:val="green"/>
        </w:rPr>
        <w:t>Fact</w:t>
      </w:r>
      <w:r w:rsidR="00D2461C" w:rsidRPr="00987FB5">
        <w:rPr>
          <w:rFonts w:ascii="Arial Narrow" w:hAnsi="Arial Narrow"/>
          <w:highlight w:val="green"/>
        </w:rPr>
        <w:t xml:space="preserve"> -</w:t>
      </w:r>
      <w:r w:rsidR="00D2461C" w:rsidRPr="00987FB5">
        <w:rPr>
          <w:rFonts w:ascii="Arial Narrow" w:hAnsi="Arial Narrow"/>
        </w:rPr>
        <w:t xml:space="preserve"> Use of antibiotics </w:t>
      </w:r>
      <w:r w:rsidR="00D41140" w:rsidRPr="00987FB5">
        <w:rPr>
          <w:rFonts w:ascii="Arial Narrow" w:hAnsi="Arial Narrow"/>
        </w:rPr>
        <w:t xml:space="preserve">is </w:t>
      </w:r>
      <w:r w:rsidR="00D2461C" w:rsidRPr="00987FB5">
        <w:rPr>
          <w:rFonts w:ascii="Arial Narrow" w:hAnsi="Arial Narrow"/>
        </w:rPr>
        <w:t xml:space="preserve">lower in </w:t>
      </w:r>
      <w:r w:rsidR="00D41140" w:rsidRPr="00987FB5">
        <w:rPr>
          <w:rFonts w:ascii="Arial Narrow" w:hAnsi="Arial Narrow"/>
        </w:rPr>
        <w:t>farm</w:t>
      </w:r>
      <w:r w:rsidR="00D2461C" w:rsidRPr="00987FB5">
        <w:rPr>
          <w:rFonts w:ascii="Arial Narrow" w:hAnsi="Arial Narrow"/>
        </w:rPr>
        <w:t xml:space="preserve"> animals than in humans, </w:t>
      </w:r>
      <w:r w:rsidR="00D41140" w:rsidRPr="00987FB5">
        <w:rPr>
          <w:rFonts w:ascii="Arial Narrow" w:hAnsi="Arial Narrow"/>
        </w:rPr>
        <w:t>as shown in the</w:t>
      </w:r>
      <w:r w:rsidR="00D2461C" w:rsidRPr="00987FB5">
        <w:rPr>
          <w:rFonts w:ascii="Arial Narrow" w:hAnsi="Arial Narrow"/>
        </w:rPr>
        <w:t xml:space="preserve"> latest 2021 JIACRA report published by the European Centre for Disease Prevention and Control (ECDC), the European Food Safety Authority (EFSA), and the European Medicines Agency (EMA).</w:t>
      </w:r>
      <w:r w:rsidR="0707F6CB" w:rsidRPr="00987FB5">
        <w:rPr>
          <w:rFonts w:ascii="Arial Narrow" w:hAnsi="Arial Narrow"/>
        </w:rPr>
        <w:t xml:space="preserve"> </w:t>
      </w:r>
      <w:r w:rsidR="00D2461C" w:rsidRPr="00987FB5">
        <w:rPr>
          <w:rFonts w:ascii="Arial Narrow" w:hAnsi="Arial Narrow"/>
        </w:rPr>
        <w:t>Massive efforts have been made by the animal sector over the last decade which has seen a reduction of sales of veterinary antibiotics of over 34% (2020 ESVAC report).</w:t>
      </w:r>
    </w:p>
    <w:p w:rsidR="00191A44" w:rsidRPr="005E0816" w:rsidRDefault="00191A44" w:rsidP="000F21F9">
      <w:pPr>
        <w:jc w:val="both"/>
        <w:rPr>
          <w:rFonts w:ascii="Arial Narrow" w:hAnsi="Arial Narrow"/>
          <w:b/>
          <w:bCs/>
        </w:rPr>
      </w:pPr>
      <w:r w:rsidRPr="005E0816">
        <w:rPr>
          <w:rFonts w:ascii="Arial Narrow" w:hAnsi="Arial Narrow"/>
          <w:b/>
          <w:bCs/>
          <w:highlight w:val="yellow"/>
        </w:rPr>
        <w:t>Myth</w:t>
      </w:r>
      <w:r w:rsidR="00187A60" w:rsidRPr="005E0816">
        <w:rPr>
          <w:rFonts w:ascii="Arial Narrow" w:hAnsi="Arial Narrow"/>
          <w:b/>
          <w:bCs/>
          <w:highlight w:val="yellow"/>
        </w:rPr>
        <w:t xml:space="preserve"> 2</w:t>
      </w:r>
      <w:r w:rsidRPr="005E0816">
        <w:rPr>
          <w:rFonts w:ascii="Arial Narrow" w:hAnsi="Arial Narrow"/>
          <w:b/>
          <w:bCs/>
          <w:highlight w:val="yellow"/>
        </w:rPr>
        <w:t xml:space="preserve"> </w:t>
      </w:r>
      <w:r w:rsidR="00D41140" w:rsidRPr="005E0816">
        <w:rPr>
          <w:rFonts w:ascii="Arial Narrow" w:hAnsi="Arial Narrow"/>
          <w:b/>
          <w:bCs/>
          <w:highlight w:val="yellow"/>
        </w:rPr>
        <w:t>–</w:t>
      </w:r>
      <w:r w:rsidRPr="005E0816">
        <w:rPr>
          <w:rFonts w:ascii="Arial Narrow" w:hAnsi="Arial Narrow"/>
          <w:b/>
          <w:bCs/>
          <w:highlight w:val="yellow"/>
        </w:rPr>
        <w:t xml:space="preserve"> </w:t>
      </w:r>
      <w:r w:rsidR="00D41140" w:rsidRPr="005E0816">
        <w:rPr>
          <w:rFonts w:ascii="Arial Narrow" w:hAnsi="Arial Narrow"/>
          <w:b/>
          <w:bCs/>
        </w:rPr>
        <w:t>In the EU, a</w:t>
      </w:r>
      <w:r w:rsidRPr="005E0816">
        <w:rPr>
          <w:rFonts w:ascii="Arial Narrow" w:hAnsi="Arial Narrow"/>
          <w:b/>
          <w:bCs/>
        </w:rPr>
        <w:t xml:space="preserve">ntibiotics are </w:t>
      </w:r>
      <w:r w:rsidR="00D41140" w:rsidRPr="005E0816">
        <w:rPr>
          <w:rFonts w:ascii="Arial Narrow" w:hAnsi="Arial Narrow"/>
          <w:b/>
          <w:bCs/>
        </w:rPr>
        <w:t>used to promote the growth of farm animals</w:t>
      </w:r>
    </w:p>
    <w:p w:rsidR="00E144D5" w:rsidRPr="00987FB5" w:rsidRDefault="00191A44"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w:t>
      </w:r>
      <w:r w:rsidR="00D41140" w:rsidRPr="00987FB5">
        <w:rPr>
          <w:rFonts w:ascii="Arial Narrow" w:hAnsi="Arial Narrow"/>
        </w:rPr>
        <w:t>–</w:t>
      </w:r>
      <w:r w:rsidRPr="00987FB5">
        <w:rPr>
          <w:rFonts w:ascii="Arial Narrow" w:hAnsi="Arial Narrow"/>
        </w:rPr>
        <w:t xml:space="preserve"> </w:t>
      </w:r>
      <w:r w:rsidR="00D41140" w:rsidRPr="00987FB5">
        <w:rPr>
          <w:rFonts w:ascii="Arial Narrow" w:hAnsi="Arial Narrow"/>
        </w:rPr>
        <w:t>The u</w:t>
      </w:r>
      <w:r w:rsidRPr="00987FB5">
        <w:rPr>
          <w:rFonts w:ascii="Arial Narrow" w:hAnsi="Arial Narrow"/>
        </w:rPr>
        <w:t>se of all growth promoters</w:t>
      </w:r>
      <w:r w:rsidR="00816D22" w:rsidRPr="00987FB5">
        <w:rPr>
          <w:rFonts w:ascii="Arial Narrow" w:hAnsi="Arial Narrow"/>
        </w:rPr>
        <w:t xml:space="preserve"> – including antibiotics - </w:t>
      </w:r>
      <w:r w:rsidRPr="00987FB5">
        <w:rPr>
          <w:rFonts w:ascii="Arial Narrow" w:hAnsi="Arial Narrow"/>
        </w:rPr>
        <w:t xml:space="preserve">in farm animals </w:t>
      </w:r>
      <w:r w:rsidR="00D41140" w:rsidRPr="00987FB5">
        <w:rPr>
          <w:rFonts w:ascii="Arial Narrow" w:hAnsi="Arial Narrow"/>
        </w:rPr>
        <w:t>is</w:t>
      </w:r>
      <w:r w:rsidRPr="00987FB5">
        <w:rPr>
          <w:rFonts w:ascii="Arial Narrow" w:hAnsi="Arial Narrow"/>
        </w:rPr>
        <w:t xml:space="preserve"> banned in the EU </w:t>
      </w:r>
      <w:r w:rsidR="00D41140" w:rsidRPr="00987FB5">
        <w:rPr>
          <w:rFonts w:ascii="Arial Narrow" w:hAnsi="Arial Narrow"/>
        </w:rPr>
        <w:t>since</w:t>
      </w:r>
      <w:r w:rsidRPr="00987FB5">
        <w:rPr>
          <w:rFonts w:ascii="Arial Narrow" w:hAnsi="Arial Narrow"/>
        </w:rPr>
        <w:t xml:space="preserve"> 2006. </w:t>
      </w:r>
      <w:r w:rsidR="00E144D5" w:rsidRPr="00987FB5">
        <w:rPr>
          <w:rFonts w:ascii="Arial Narrow" w:hAnsi="Arial Narrow"/>
        </w:rPr>
        <w:t>Unfortunately, these</w:t>
      </w:r>
      <w:r w:rsidRPr="00987FB5">
        <w:rPr>
          <w:rFonts w:ascii="Arial Narrow" w:hAnsi="Arial Narrow"/>
        </w:rPr>
        <w:t xml:space="preserve"> are still used in many </w:t>
      </w:r>
      <w:r w:rsidR="00E144D5" w:rsidRPr="00987FB5">
        <w:rPr>
          <w:rFonts w:ascii="Arial Narrow" w:hAnsi="Arial Narrow"/>
        </w:rPr>
        <w:t xml:space="preserve">non-EU </w:t>
      </w:r>
      <w:r w:rsidRPr="00987FB5">
        <w:rPr>
          <w:rFonts w:ascii="Arial Narrow" w:hAnsi="Arial Narrow"/>
        </w:rPr>
        <w:t>countries to increase growth rates in animals.</w:t>
      </w:r>
    </w:p>
    <w:p w:rsidR="00D2506C" w:rsidRPr="005E0816" w:rsidRDefault="00D2506C"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highlight w:val="yellow"/>
        </w:rPr>
        <w:t>5</w:t>
      </w:r>
      <w:r w:rsidRPr="005E0816">
        <w:rPr>
          <w:rFonts w:ascii="Arial Narrow" w:hAnsi="Arial Narrow"/>
          <w:b/>
          <w:bCs/>
          <w:highlight w:val="yellow"/>
        </w:rPr>
        <w:t xml:space="preserve"> – </w:t>
      </w:r>
      <w:r w:rsidRPr="005E0816">
        <w:rPr>
          <w:rFonts w:ascii="Arial Narrow" w:hAnsi="Arial Narrow"/>
          <w:b/>
          <w:bCs/>
        </w:rPr>
        <w:t>There is a high risk that people become ill as a result of antibiotic resistance developed in animals and transferred to humans.</w:t>
      </w:r>
    </w:p>
    <w:p w:rsidR="00E144D5" w:rsidRPr="00987FB5" w:rsidRDefault="00D2506C"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 People may believe that antibiotic resistance in people is transferred by animals to humans, but in reality a complex and rare sequence of events would have to occur for this to be the case, making the transfer of resistance from animals to humans a very occasional occurrence. </w:t>
      </w:r>
      <w:r w:rsidR="005537EF" w:rsidRPr="00987FB5">
        <w:rPr>
          <w:rFonts w:ascii="Arial Narrow" w:hAnsi="Arial Narrow"/>
        </w:rPr>
        <w:t>Additionally, transfer of resistance may happen towards both directions, i.e. from animals to humans and vice versa.</w:t>
      </w:r>
    </w:p>
    <w:p w:rsidR="005537EF" w:rsidRPr="005E0816" w:rsidRDefault="00D2506C"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highlight w:val="yellow"/>
        </w:rPr>
        <w:t>4</w:t>
      </w:r>
      <w:r w:rsidRPr="005E0816">
        <w:rPr>
          <w:rFonts w:ascii="Arial Narrow" w:hAnsi="Arial Narrow"/>
          <w:b/>
          <w:bCs/>
          <w:highlight w:val="yellow"/>
        </w:rPr>
        <w:t xml:space="preserve"> – </w:t>
      </w:r>
      <w:r w:rsidRPr="005E0816">
        <w:rPr>
          <w:rFonts w:ascii="Arial Narrow" w:hAnsi="Arial Narrow"/>
          <w:b/>
          <w:bCs/>
        </w:rPr>
        <w:t xml:space="preserve">Antimicrobial resistance in humans is the result of </w:t>
      </w:r>
      <w:r w:rsidR="005537EF" w:rsidRPr="005E0816">
        <w:rPr>
          <w:rFonts w:ascii="Arial Narrow" w:hAnsi="Arial Narrow"/>
          <w:b/>
          <w:bCs/>
        </w:rPr>
        <w:t>overuse of antibiotics in animals.</w:t>
      </w:r>
    </w:p>
    <w:p w:rsidR="00D2506C" w:rsidRPr="00987FB5" w:rsidRDefault="005537EF"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 the mechanisms of development of antibiotic resistance in humans and in animals is the same. Misuse or overuse of antibiotics in humans and in animals may lead to the development of resistance, while transfer of antibiotic resistance through species might happen occasionally and towards both directions (see also previous question). </w:t>
      </w:r>
      <w:bookmarkStart w:id="0" w:name="_Hlk80355732"/>
      <w:r w:rsidR="00D2506C" w:rsidRPr="00987FB5">
        <w:rPr>
          <w:rFonts w:ascii="Arial Narrow" w:hAnsi="Arial Narrow"/>
        </w:rPr>
        <w:t xml:space="preserve">Therefore, banning certain antibiotics for use in animals will have little effect on the human antimicrobial resistance burden. This is acknowledged by many </w:t>
      </w:r>
      <w:hyperlink r:id="rId9" w:history="1">
        <w:r w:rsidR="00D2506C" w:rsidRPr="00987FB5">
          <w:rPr>
            <w:rStyle w:val="Hyperlink"/>
            <w:rFonts w:ascii="Arial Narrow" w:hAnsi="Arial Narrow"/>
          </w:rPr>
          <w:t>scientific bodies</w:t>
        </w:r>
      </w:hyperlink>
      <w:r w:rsidR="00D2506C" w:rsidRPr="00987FB5">
        <w:rPr>
          <w:rFonts w:ascii="Arial Narrow" w:hAnsi="Arial Narrow"/>
        </w:rPr>
        <w:t xml:space="preserve"> and authorities, which have stated that about 75% of the total burden of infections with antibiotic-resistant bacteria in EU and EEA countries are associated with human patients and healthcare settings.</w:t>
      </w:r>
      <w:r w:rsidRPr="00987FB5">
        <w:rPr>
          <w:rFonts w:ascii="Arial Narrow" w:hAnsi="Arial Narrow"/>
        </w:rPr>
        <w:t xml:space="preserve"> </w:t>
      </w:r>
      <w:r w:rsidR="000F21F9">
        <w:rPr>
          <w:rFonts w:ascii="Arial Narrow" w:hAnsi="Arial Narrow"/>
        </w:rPr>
        <w:t xml:space="preserve">Other main drivers </w:t>
      </w:r>
      <w:r w:rsidR="000F21F9" w:rsidRPr="000F21F9">
        <w:rPr>
          <w:rFonts w:ascii="Arial Narrow" w:hAnsi="Arial Narrow"/>
        </w:rPr>
        <w:t>include  the misuse and overuse of antimicrobials; the lack of access to clean water, sanitation and hygiene (WASH) for both humans and animals, poor access to quality, affordable medicines, vaccines and diagnostics; the lack of awareness and knowledge; and lack of enforcement of legislation</w:t>
      </w:r>
      <w:r w:rsidR="000F21F9">
        <w:rPr>
          <w:rFonts w:ascii="Arial" w:hAnsi="Arial" w:cs="Arial"/>
          <w:color w:val="3C4245"/>
        </w:rPr>
        <w:t xml:space="preserve"> (</w:t>
      </w:r>
      <w:hyperlink r:id="rId10" w:history="1">
        <w:r w:rsidR="000F21F9" w:rsidRPr="000F21F9">
          <w:rPr>
            <w:rStyle w:val="Hyperlink"/>
            <w:rFonts w:ascii="Arial" w:hAnsi="Arial" w:cs="Arial"/>
          </w:rPr>
          <w:t>WH0</w:t>
        </w:r>
      </w:hyperlink>
      <w:r w:rsidR="000F21F9">
        <w:rPr>
          <w:rFonts w:ascii="Arial" w:hAnsi="Arial" w:cs="Arial"/>
          <w:color w:val="3C4245"/>
        </w:rPr>
        <w:t>).   </w:t>
      </w:r>
      <w:r w:rsidR="000F21F9">
        <w:rPr>
          <w:rFonts w:ascii="Arial Narrow" w:hAnsi="Arial Narrow"/>
        </w:rPr>
        <w:t>B</w:t>
      </w:r>
      <w:r w:rsidRPr="00987FB5">
        <w:rPr>
          <w:rFonts w:ascii="Arial Narrow" w:hAnsi="Arial Narrow"/>
        </w:rPr>
        <w:t>anning certain antibiotics for use in animals may have a contra-effect</w:t>
      </w:r>
      <w:r w:rsidR="005D0CC9" w:rsidRPr="00987FB5">
        <w:rPr>
          <w:rFonts w:ascii="Arial Narrow" w:hAnsi="Arial Narrow"/>
        </w:rPr>
        <w:t xml:space="preserve">. Dependance on few only antibiotics for the </w:t>
      </w:r>
      <w:r w:rsidRPr="00987FB5">
        <w:rPr>
          <w:rFonts w:ascii="Arial Narrow" w:hAnsi="Arial Narrow"/>
        </w:rPr>
        <w:t xml:space="preserve">treatment </w:t>
      </w:r>
      <w:r w:rsidR="005D0CC9" w:rsidRPr="00987FB5">
        <w:rPr>
          <w:rFonts w:ascii="Arial Narrow" w:hAnsi="Arial Narrow"/>
        </w:rPr>
        <w:t xml:space="preserve">of infections in animals will increase the pressure to bacteria and the selection for antibiotic resistance, thus leading to the opposite effect. </w:t>
      </w:r>
    </w:p>
    <w:bookmarkEnd w:id="0"/>
    <w:p w:rsidR="0034281A" w:rsidRPr="005E0816" w:rsidRDefault="0034281A"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highlight w:val="yellow"/>
        </w:rPr>
        <w:t>5</w:t>
      </w:r>
      <w:r w:rsidRPr="005E0816">
        <w:rPr>
          <w:rFonts w:ascii="Arial Narrow" w:hAnsi="Arial Narrow"/>
          <w:b/>
          <w:bCs/>
          <w:highlight w:val="yellow"/>
        </w:rPr>
        <w:t xml:space="preserve"> - </w:t>
      </w:r>
      <w:r w:rsidRPr="005E0816">
        <w:rPr>
          <w:rFonts w:ascii="Arial Narrow" w:hAnsi="Arial Narrow"/>
          <w:b/>
          <w:bCs/>
        </w:rPr>
        <w:t xml:space="preserve">Antibiotics are </w:t>
      </w:r>
      <w:r w:rsidR="00D41140" w:rsidRPr="005E0816">
        <w:rPr>
          <w:rFonts w:ascii="Arial Narrow" w:hAnsi="Arial Narrow"/>
          <w:b/>
          <w:bCs/>
        </w:rPr>
        <w:t>present</w:t>
      </w:r>
      <w:r w:rsidRPr="005E0816">
        <w:rPr>
          <w:rFonts w:ascii="Arial Narrow" w:hAnsi="Arial Narrow"/>
          <w:b/>
          <w:bCs/>
        </w:rPr>
        <w:t xml:space="preserve"> in food.</w:t>
      </w:r>
    </w:p>
    <w:p w:rsidR="000F21F9" w:rsidRDefault="0034281A" w:rsidP="000F21F9">
      <w:pPr>
        <w:jc w:val="both"/>
        <w:rPr>
          <w:rFonts w:ascii="Arial Narrow" w:hAnsi="Arial Narrow"/>
        </w:rPr>
      </w:pPr>
      <w:r w:rsidRPr="00987FB5">
        <w:rPr>
          <w:rFonts w:ascii="Arial Narrow" w:hAnsi="Arial Narrow"/>
          <w:highlight w:val="green"/>
        </w:rPr>
        <w:t>Fact -</w:t>
      </w:r>
      <w:r w:rsidRPr="00987FB5">
        <w:rPr>
          <w:rFonts w:ascii="Arial Narrow" w:hAnsi="Arial Narrow"/>
        </w:rPr>
        <w:t xml:space="preserve"> In the EU, very strict “waiting” or withdrawal periods are </w:t>
      </w:r>
      <w:hyperlink r:id="rId11" w:history="1">
        <w:r w:rsidR="00D41140" w:rsidRPr="00BC3ED6">
          <w:rPr>
            <w:rStyle w:val="Hyperlink"/>
            <w:rFonts w:ascii="Arial Narrow" w:hAnsi="Arial Narrow"/>
          </w:rPr>
          <w:t>set</w:t>
        </w:r>
      </w:hyperlink>
      <w:r w:rsidR="00D41140" w:rsidRPr="00987FB5">
        <w:rPr>
          <w:rFonts w:ascii="Arial Narrow" w:hAnsi="Arial Narrow"/>
        </w:rPr>
        <w:t xml:space="preserve"> </w:t>
      </w:r>
      <w:r w:rsidRPr="00987FB5">
        <w:rPr>
          <w:rFonts w:ascii="Arial Narrow" w:hAnsi="Arial Narrow"/>
        </w:rPr>
        <w:t xml:space="preserve">for each </w:t>
      </w:r>
      <w:r w:rsidR="00D41140" w:rsidRPr="00987FB5">
        <w:rPr>
          <w:rFonts w:ascii="Arial Narrow" w:hAnsi="Arial Narrow"/>
        </w:rPr>
        <w:t>antibiotic for veterinary use</w:t>
      </w:r>
      <w:r w:rsidRPr="00987FB5">
        <w:rPr>
          <w:rFonts w:ascii="Arial Narrow" w:hAnsi="Arial Narrow"/>
        </w:rPr>
        <w:t xml:space="preserve">, giving time for medicines to be eliminated from the animal prior to slaughter. This ensures food safety as </w:t>
      </w:r>
      <w:r w:rsidR="569CF1C6" w:rsidRPr="00987FB5">
        <w:rPr>
          <w:rFonts w:ascii="Arial Narrow" w:hAnsi="Arial Narrow"/>
        </w:rPr>
        <w:t xml:space="preserve">food products of animal origin </w:t>
      </w:r>
      <w:r w:rsidRPr="00987FB5">
        <w:rPr>
          <w:rFonts w:ascii="Arial Narrow" w:hAnsi="Arial Narrow"/>
        </w:rPr>
        <w:t xml:space="preserve">cannot contain residues of </w:t>
      </w:r>
      <w:r w:rsidR="00D41140" w:rsidRPr="00987FB5">
        <w:rPr>
          <w:rFonts w:ascii="Arial Narrow" w:hAnsi="Arial Narrow"/>
        </w:rPr>
        <w:t>antibiotics</w:t>
      </w:r>
      <w:r w:rsidRPr="00987FB5">
        <w:rPr>
          <w:rFonts w:ascii="Arial Narrow" w:hAnsi="Arial Narrow"/>
        </w:rPr>
        <w:t xml:space="preserve"> above very stringent limits.</w:t>
      </w:r>
    </w:p>
    <w:p w:rsidR="000F21F9" w:rsidRDefault="000F21F9" w:rsidP="000F21F9">
      <w:pPr>
        <w:jc w:val="both"/>
        <w:rPr>
          <w:rFonts w:ascii="Arial Narrow" w:hAnsi="Arial Narrow"/>
        </w:rPr>
      </w:pPr>
    </w:p>
    <w:p w:rsidR="000F21F9" w:rsidRPr="00987FB5" w:rsidRDefault="000F21F9" w:rsidP="000F21F9">
      <w:pPr>
        <w:jc w:val="both"/>
        <w:rPr>
          <w:rFonts w:ascii="Arial Narrow" w:hAnsi="Arial Narrow"/>
        </w:rPr>
      </w:pPr>
    </w:p>
    <w:p w:rsidR="00191A44" w:rsidRPr="005E0816" w:rsidRDefault="00191A44"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rPr>
        <w:t>6</w:t>
      </w:r>
      <w:r w:rsidRPr="005E0816">
        <w:rPr>
          <w:rFonts w:ascii="Arial Narrow" w:hAnsi="Arial Narrow"/>
          <w:b/>
          <w:bCs/>
        </w:rPr>
        <w:t>- Intens</w:t>
      </w:r>
      <w:r w:rsidR="570BBA70" w:rsidRPr="005E0816">
        <w:rPr>
          <w:rFonts w:ascii="Arial Narrow" w:hAnsi="Arial Narrow"/>
          <w:b/>
          <w:bCs/>
        </w:rPr>
        <w:t>ive</w:t>
      </w:r>
      <w:r w:rsidRPr="005E0816">
        <w:rPr>
          <w:rFonts w:ascii="Arial Narrow" w:hAnsi="Arial Narrow"/>
          <w:b/>
          <w:bCs/>
        </w:rPr>
        <w:t xml:space="preserve"> farming </w:t>
      </w:r>
      <w:r w:rsidR="00F83906" w:rsidRPr="005E0816">
        <w:rPr>
          <w:rFonts w:ascii="Arial Narrow" w:hAnsi="Arial Narrow"/>
          <w:b/>
          <w:bCs/>
        </w:rPr>
        <w:t>favors</w:t>
      </w:r>
      <w:r w:rsidRPr="005E0816">
        <w:rPr>
          <w:rFonts w:ascii="Arial Narrow" w:hAnsi="Arial Narrow"/>
          <w:b/>
          <w:bCs/>
        </w:rPr>
        <w:t xml:space="preserve"> the development of </w:t>
      </w:r>
      <w:r w:rsidR="00D41140" w:rsidRPr="005E0816">
        <w:rPr>
          <w:rFonts w:ascii="Arial Narrow" w:hAnsi="Arial Narrow"/>
          <w:b/>
          <w:bCs/>
        </w:rPr>
        <w:t xml:space="preserve">antimicrobial </w:t>
      </w:r>
      <w:r w:rsidRPr="005E0816">
        <w:rPr>
          <w:rFonts w:ascii="Arial Narrow" w:hAnsi="Arial Narrow"/>
          <w:b/>
          <w:bCs/>
        </w:rPr>
        <w:t>resistance.</w:t>
      </w:r>
    </w:p>
    <w:p w:rsidR="009D2474" w:rsidRPr="00987FB5" w:rsidRDefault="008950FE"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w:t>
      </w:r>
      <w:r w:rsidR="0034281A" w:rsidRPr="00987FB5">
        <w:rPr>
          <w:rFonts w:ascii="Arial Narrow" w:hAnsi="Arial Narrow"/>
        </w:rPr>
        <w:t xml:space="preserve"> </w:t>
      </w:r>
      <w:r w:rsidRPr="00987FB5">
        <w:rPr>
          <w:rFonts w:ascii="Arial Narrow" w:hAnsi="Arial Narrow"/>
        </w:rPr>
        <w:t>The main factor for resistance development is</w:t>
      </w:r>
      <w:r w:rsidR="00191A44" w:rsidRPr="00987FB5">
        <w:rPr>
          <w:rFonts w:ascii="Arial Narrow" w:hAnsi="Arial Narrow"/>
        </w:rPr>
        <w:t xml:space="preserve"> the level of use </w:t>
      </w:r>
      <w:r w:rsidRPr="00987FB5">
        <w:rPr>
          <w:rFonts w:ascii="Arial Narrow" w:hAnsi="Arial Narrow"/>
        </w:rPr>
        <w:t>/</w:t>
      </w:r>
      <w:r w:rsidR="00191A44" w:rsidRPr="00987FB5">
        <w:rPr>
          <w:rFonts w:ascii="Arial Narrow" w:hAnsi="Arial Narrow"/>
        </w:rPr>
        <w:t xml:space="preserve"> misuse of antibiotics</w:t>
      </w:r>
      <w:r w:rsidRPr="00987FB5">
        <w:rPr>
          <w:rFonts w:ascii="Arial Narrow" w:hAnsi="Arial Narrow"/>
        </w:rPr>
        <w:t xml:space="preserve">, which is not </w:t>
      </w:r>
      <w:r w:rsidR="00191A44" w:rsidRPr="00987FB5">
        <w:rPr>
          <w:rFonts w:ascii="Arial Narrow" w:hAnsi="Arial Narrow"/>
        </w:rPr>
        <w:t xml:space="preserve">necessarily linked to farm scale or system. Resistant bacteria are found on </w:t>
      </w:r>
      <w:r w:rsidR="00420310" w:rsidRPr="00987FB5">
        <w:rPr>
          <w:rFonts w:ascii="Arial Narrow" w:hAnsi="Arial Narrow"/>
        </w:rPr>
        <w:t>intensive</w:t>
      </w:r>
      <w:r w:rsidR="00191A44" w:rsidRPr="00987FB5">
        <w:rPr>
          <w:rFonts w:ascii="Arial Narrow" w:hAnsi="Arial Narrow"/>
        </w:rPr>
        <w:t xml:space="preserve"> and organic farms alike</w:t>
      </w:r>
      <w:r w:rsidR="0034281A" w:rsidRPr="00987FB5">
        <w:rPr>
          <w:rFonts w:ascii="Arial Narrow" w:hAnsi="Arial Narrow"/>
        </w:rPr>
        <w:t>, since animals become sick at some time in all production systems, and so are treated with veterinary antibiotics whenever th</w:t>
      </w:r>
      <w:r w:rsidR="37F08121" w:rsidRPr="00987FB5">
        <w:rPr>
          <w:rFonts w:ascii="Arial Narrow" w:hAnsi="Arial Narrow"/>
        </w:rPr>
        <w:t>is is deemed necessary by a veterinarian</w:t>
      </w:r>
      <w:r w:rsidR="00152BD7" w:rsidRPr="00987FB5">
        <w:rPr>
          <w:rFonts w:ascii="Arial Narrow" w:hAnsi="Arial Narrow"/>
        </w:rPr>
        <w:t xml:space="preserve"> (</w:t>
      </w:r>
      <w:hyperlink r:id="rId12" w:history="1">
        <w:r w:rsidR="00152BD7" w:rsidRPr="00987FB5">
          <w:rPr>
            <w:rStyle w:val="Hyperlink"/>
            <w:rFonts w:ascii="Arial Narrow" w:hAnsi="Arial Narrow"/>
          </w:rPr>
          <w:t>Commission Regulation (EC) No 889/2008</w:t>
        </w:r>
      </w:hyperlink>
      <w:r w:rsidR="00152BD7" w:rsidRPr="00987FB5">
        <w:rPr>
          <w:rFonts w:ascii="Arial Narrow" w:hAnsi="Arial Narrow"/>
        </w:rPr>
        <w:t xml:space="preserve"> and </w:t>
      </w:r>
      <w:hyperlink r:id="rId13" w:history="1">
        <w:r w:rsidR="00152BD7" w:rsidRPr="00987FB5">
          <w:rPr>
            <w:rStyle w:val="Hyperlink"/>
            <w:rFonts w:ascii="Arial Narrow" w:hAnsi="Arial Narrow"/>
          </w:rPr>
          <w:t>Council Regulation (EC) No 834/2007</w:t>
        </w:r>
      </w:hyperlink>
      <w:r w:rsidR="00152BD7" w:rsidRPr="00987FB5">
        <w:rPr>
          <w:rFonts w:ascii="Arial Narrow" w:hAnsi="Arial Narrow"/>
        </w:rPr>
        <w:t>)</w:t>
      </w:r>
      <w:r w:rsidR="0034281A" w:rsidRPr="00987FB5">
        <w:rPr>
          <w:rFonts w:ascii="Arial Narrow" w:hAnsi="Arial Narrow"/>
        </w:rPr>
        <w:t xml:space="preserve">. </w:t>
      </w:r>
    </w:p>
    <w:p w:rsidR="00AF5CBF" w:rsidRPr="005E0816" w:rsidRDefault="00AF5CBF"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rPr>
        <w:t>7</w:t>
      </w:r>
      <w:r w:rsidRPr="005E0816">
        <w:rPr>
          <w:rFonts w:ascii="Arial Narrow" w:hAnsi="Arial Narrow"/>
          <w:b/>
          <w:bCs/>
        </w:rPr>
        <w:t xml:space="preserve"> - Antibiotics are excessively used in animals by non-competent persons.</w:t>
      </w:r>
    </w:p>
    <w:p w:rsidR="003D601B" w:rsidRPr="00987FB5" w:rsidRDefault="00AF5CBF"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 Regulation 2019/6 indicates that antibiotics in animals are used only following the examination, diagnosis and prescription by a veterinarian.  </w:t>
      </w:r>
      <w:r w:rsidR="005D0CC9" w:rsidRPr="00987FB5">
        <w:rPr>
          <w:rFonts w:ascii="Arial Narrow" w:hAnsi="Arial Narrow"/>
        </w:rPr>
        <w:t>Veterinarians are highly educated to evaluate the health condition of animals under their care, to diagnose and to prescribe the necessary treatment in the same way that doctors do for people.</w:t>
      </w:r>
      <w:r w:rsidRPr="00987FB5">
        <w:rPr>
          <w:rFonts w:ascii="Arial Narrow" w:hAnsi="Arial Narrow"/>
        </w:rPr>
        <w:t xml:space="preserve"> They are additionally </w:t>
      </w:r>
      <w:r w:rsidR="005771FB" w:rsidRPr="00987FB5">
        <w:rPr>
          <w:rFonts w:ascii="Arial Narrow" w:hAnsi="Arial Narrow"/>
        </w:rPr>
        <w:t xml:space="preserve">well-aware of the mechanisms leading to the development of antibiotic resistance and the risks for animals and people in the same way that doctors are for people. </w:t>
      </w:r>
      <w:r w:rsidR="005D0CC9" w:rsidRPr="00987FB5">
        <w:rPr>
          <w:rFonts w:ascii="Arial Narrow" w:hAnsi="Arial Narrow"/>
        </w:rPr>
        <w:t xml:space="preserve">Enforcing veterinary supervision and care </w:t>
      </w:r>
      <w:r w:rsidRPr="00987FB5">
        <w:rPr>
          <w:rFonts w:ascii="Arial Narrow" w:hAnsi="Arial Narrow"/>
        </w:rPr>
        <w:t xml:space="preserve">through the implementation of regular veterinary visits as foreseen by the </w:t>
      </w:r>
      <w:hyperlink r:id="rId14" w:history="1">
        <w:r w:rsidRPr="00987FB5">
          <w:rPr>
            <w:rStyle w:val="Hyperlink"/>
            <w:rFonts w:ascii="Arial Narrow" w:hAnsi="Arial Narrow"/>
          </w:rPr>
          <w:t>Regulation (EU) 2016/429</w:t>
        </w:r>
      </w:hyperlink>
      <w:r w:rsidRPr="00987FB5">
        <w:rPr>
          <w:rFonts w:ascii="Arial Narrow" w:hAnsi="Arial Narrow"/>
        </w:rPr>
        <w:t xml:space="preserve"> </w:t>
      </w:r>
      <w:r w:rsidR="005771FB" w:rsidRPr="00987FB5">
        <w:rPr>
          <w:rFonts w:ascii="Arial Narrow" w:hAnsi="Arial Narrow"/>
        </w:rPr>
        <w:t>can have a major impact on promotion and implementation of best practices, which leads to better health of animals and minimize the need to use antibiotics</w:t>
      </w:r>
      <w:r w:rsidRPr="00987FB5">
        <w:rPr>
          <w:rFonts w:ascii="Arial Narrow" w:hAnsi="Arial Narrow"/>
        </w:rPr>
        <w:t>.</w:t>
      </w:r>
    </w:p>
    <w:p w:rsidR="00191A44" w:rsidRPr="005E0816" w:rsidRDefault="00C5319C" w:rsidP="000F21F9">
      <w:pPr>
        <w:jc w:val="both"/>
        <w:rPr>
          <w:rFonts w:ascii="Arial Narrow" w:hAnsi="Arial Narrow"/>
          <w:b/>
          <w:bCs/>
        </w:rPr>
      </w:pPr>
      <w:r w:rsidRPr="005E0816">
        <w:rPr>
          <w:rFonts w:ascii="Arial Narrow" w:hAnsi="Arial Narrow"/>
          <w:b/>
          <w:bCs/>
          <w:highlight w:val="yellow"/>
        </w:rPr>
        <w:t>Myth</w:t>
      </w:r>
      <w:r w:rsidR="00187A60" w:rsidRPr="005E0816">
        <w:rPr>
          <w:rFonts w:ascii="Arial Narrow" w:hAnsi="Arial Narrow"/>
          <w:b/>
          <w:bCs/>
          <w:highlight w:val="yellow"/>
        </w:rPr>
        <w:t xml:space="preserve"> </w:t>
      </w:r>
      <w:r w:rsidR="00987FB5" w:rsidRPr="005E0816">
        <w:rPr>
          <w:rFonts w:ascii="Arial Narrow" w:hAnsi="Arial Narrow"/>
          <w:b/>
          <w:bCs/>
          <w:highlight w:val="yellow"/>
        </w:rPr>
        <w:t>8</w:t>
      </w:r>
      <w:r w:rsidRPr="005E0816">
        <w:rPr>
          <w:rFonts w:ascii="Arial Narrow" w:hAnsi="Arial Narrow"/>
          <w:b/>
          <w:bCs/>
          <w:highlight w:val="yellow"/>
        </w:rPr>
        <w:t xml:space="preserve"> - </w:t>
      </w:r>
      <w:r w:rsidR="00F346C7" w:rsidRPr="005E0816">
        <w:rPr>
          <w:rFonts w:ascii="Arial Narrow" w:hAnsi="Arial Narrow"/>
          <w:b/>
          <w:bCs/>
        </w:rPr>
        <w:t xml:space="preserve">Preventive treatment is used </w:t>
      </w:r>
      <w:r w:rsidR="4DCF61EF" w:rsidRPr="005E0816">
        <w:rPr>
          <w:rFonts w:ascii="Arial Narrow" w:hAnsi="Arial Narrow"/>
          <w:b/>
          <w:bCs/>
        </w:rPr>
        <w:t>on</w:t>
      </w:r>
      <w:r w:rsidR="00F346C7" w:rsidRPr="005E0816">
        <w:rPr>
          <w:rFonts w:ascii="Arial Narrow" w:hAnsi="Arial Narrow"/>
          <w:b/>
          <w:bCs/>
        </w:rPr>
        <w:t xml:space="preserve"> EU farms to compensate </w:t>
      </w:r>
      <w:r w:rsidR="1C828C4F" w:rsidRPr="005E0816">
        <w:rPr>
          <w:rFonts w:ascii="Arial Narrow" w:hAnsi="Arial Narrow"/>
          <w:b/>
          <w:bCs/>
        </w:rPr>
        <w:t xml:space="preserve">for </w:t>
      </w:r>
      <w:r w:rsidR="00F346C7" w:rsidRPr="005E0816">
        <w:rPr>
          <w:rFonts w:ascii="Arial Narrow" w:hAnsi="Arial Narrow"/>
          <w:b/>
          <w:bCs/>
        </w:rPr>
        <w:t>poor hygiene and husbandry</w:t>
      </w:r>
    </w:p>
    <w:p w:rsidR="00C14BF8" w:rsidRPr="00987FB5" w:rsidRDefault="00C14BF8" w:rsidP="000F21F9">
      <w:pPr>
        <w:jc w:val="both"/>
        <w:rPr>
          <w:rFonts w:ascii="Arial Narrow" w:hAnsi="Arial Narrow"/>
        </w:rPr>
      </w:pPr>
      <w:r w:rsidRPr="00987FB5">
        <w:rPr>
          <w:rFonts w:ascii="Arial Narrow" w:hAnsi="Arial Narrow"/>
          <w:highlight w:val="green"/>
        </w:rPr>
        <w:t>Fact</w:t>
      </w:r>
      <w:r w:rsidRPr="00987FB5">
        <w:rPr>
          <w:rFonts w:ascii="Arial Narrow" w:hAnsi="Arial Narrow"/>
        </w:rPr>
        <w:t xml:space="preserve"> </w:t>
      </w:r>
      <w:r w:rsidR="00152BD7" w:rsidRPr="00987FB5">
        <w:rPr>
          <w:rFonts w:ascii="Arial Narrow" w:hAnsi="Arial Narrow"/>
        </w:rPr>
        <w:t>–</w:t>
      </w:r>
      <w:r w:rsidRPr="00987FB5">
        <w:rPr>
          <w:rFonts w:ascii="Arial Narrow" w:hAnsi="Arial Narrow"/>
        </w:rPr>
        <w:t xml:space="preserve"> </w:t>
      </w:r>
      <w:r w:rsidR="00152BD7" w:rsidRPr="00987FB5">
        <w:rPr>
          <w:rFonts w:ascii="Arial Narrow" w:hAnsi="Arial Narrow"/>
        </w:rPr>
        <w:t xml:space="preserve">Animals – like humans – can become sick even </w:t>
      </w:r>
      <w:r w:rsidR="00D87792" w:rsidRPr="00987FB5">
        <w:rPr>
          <w:rFonts w:ascii="Arial Narrow" w:hAnsi="Arial Narrow"/>
        </w:rPr>
        <w:t xml:space="preserve">when kept </w:t>
      </w:r>
      <w:r w:rsidR="00152BD7" w:rsidRPr="00987FB5">
        <w:rPr>
          <w:rFonts w:ascii="Arial Narrow" w:hAnsi="Arial Narrow"/>
        </w:rPr>
        <w:t>under the best conditions.</w:t>
      </w:r>
      <w:r w:rsidR="00D87792" w:rsidRPr="00987FB5">
        <w:rPr>
          <w:rFonts w:ascii="Arial Narrow" w:hAnsi="Arial Narrow"/>
        </w:rPr>
        <w:t xml:space="preserve"> Animals</w:t>
      </w:r>
      <w:r w:rsidR="00152BD7" w:rsidRPr="00987FB5">
        <w:rPr>
          <w:rFonts w:ascii="Arial Narrow" w:hAnsi="Arial Narrow"/>
        </w:rPr>
        <w:t xml:space="preserve"> </w:t>
      </w:r>
      <w:r w:rsidR="00D87792" w:rsidRPr="00987FB5">
        <w:rPr>
          <w:rFonts w:ascii="Arial Narrow" w:hAnsi="Arial Narrow"/>
        </w:rPr>
        <w:t xml:space="preserve">are recognized as sentient beings (article 13 of the </w:t>
      </w:r>
      <w:hyperlink r:id="rId15" w:history="1">
        <w:r w:rsidR="00D87792" w:rsidRPr="00987FB5">
          <w:rPr>
            <w:rStyle w:val="Hyperlink"/>
            <w:rFonts w:ascii="Arial Narrow" w:hAnsi="Arial Narrow"/>
          </w:rPr>
          <w:t>TFEU</w:t>
        </w:r>
      </w:hyperlink>
      <w:r w:rsidR="00D87792" w:rsidRPr="00987FB5">
        <w:rPr>
          <w:rFonts w:ascii="Arial Narrow" w:hAnsi="Arial Narrow"/>
        </w:rPr>
        <w:t xml:space="preserve">) and </w:t>
      </w:r>
      <w:r w:rsidR="00152BD7" w:rsidRPr="00987FB5">
        <w:rPr>
          <w:rFonts w:ascii="Arial Narrow" w:hAnsi="Arial Narrow"/>
        </w:rPr>
        <w:t xml:space="preserve">have to be treated </w:t>
      </w:r>
      <w:r w:rsidR="0012561E" w:rsidRPr="00987FB5">
        <w:rPr>
          <w:rFonts w:ascii="Arial Narrow" w:hAnsi="Arial Narrow"/>
        </w:rPr>
        <w:t>w</w:t>
      </w:r>
      <w:r w:rsidR="00D87792" w:rsidRPr="00987FB5">
        <w:rPr>
          <w:rFonts w:ascii="Arial Narrow" w:hAnsi="Arial Narrow"/>
        </w:rPr>
        <w:t xml:space="preserve">hen animals get sick. The veterinarian is one to evaluate the situation, diagnose and prescribe the right treatment to those sick animals, including antibiotics where needed, as doctors do for people. Applying prevention measures is also crucial in ensuring overall animal health of animals. </w:t>
      </w:r>
      <w:r w:rsidRPr="00987FB5">
        <w:rPr>
          <w:rFonts w:ascii="Arial Narrow" w:hAnsi="Arial Narrow"/>
        </w:rPr>
        <w:t xml:space="preserve">Regulation 2019/6 bans the preventive (prophylactic) use of antibiotics in groups of animals. Preventive treatment with antibiotics in animals is only permitted </w:t>
      </w:r>
      <w:r w:rsidR="5563A6C9" w:rsidRPr="00987FB5">
        <w:rPr>
          <w:rFonts w:ascii="Arial Narrow" w:hAnsi="Arial Narrow"/>
        </w:rPr>
        <w:t>for</w:t>
      </w:r>
      <w:r w:rsidRPr="00987FB5">
        <w:rPr>
          <w:rFonts w:ascii="Arial Narrow" w:hAnsi="Arial Narrow"/>
        </w:rPr>
        <w:t xml:space="preserve"> individual animals and in exceptional cases</w:t>
      </w:r>
      <w:r w:rsidR="23FAB70A" w:rsidRPr="00987FB5">
        <w:rPr>
          <w:rFonts w:ascii="Arial Narrow" w:hAnsi="Arial Narrow"/>
        </w:rPr>
        <w:t xml:space="preserve"> for a small number of animals</w:t>
      </w:r>
      <w:r w:rsidRPr="00987FB5">
        <w:rPr>
          <w:rFonts w:ascii="Arial Narrow" w:hAnsi="Arial Narrow"/>
        </w:rPr>
        <w:t>, when the risk of an infection is very high and the consequences are likely to be severe.</w:t>
      </w:r>
    </w:p>
    <w:p w:rsidR="003D601B" w:rsidRPr="00987FB5" w:rsidRDefault="00D2461C" w:rsidP="000F21F9">
      <w:pPr>
        <w:jc w:val="both"/>
        <w:rPr>
          <w:rFonts w:ascii="Arial Narrow" w:hAnsi="Arial Narrow"/>
        </w:rPr>
      </w:pPr>
      <w:r w:rsidRPr="00987FB5">
        <w:rPr>
          <w:rFonts w:ascii="Arial Narrow" w:hAnsi="Arial Narrow"/>
        </w:rPr>
        <w:t>The use of antibiotics in animals is only allowed on veterinary prescription and the use of veterinary medicines “to compensate for poor hygiene, inadequate animal husbandry or lack of care or to compensate for poor farm management” is expressly banned as per Regulation 2019/6</w:t>
      </w:r>
      <w:r w:rsidR="00152BD7" w:rsidRPr="00987FB5">
        <w:rPr>
          <w:rFonts w:ascii="Arial Narrow" w:hAnsi="Arial Narrow"/>
        </w:rPr>
        <w:t>.</w:t>
      </w:r>
      <w:r w:rsidRPr="00987FB5">
        <w:rPr>
          <w:rFonts w:ascii="Arial Narrow" w:hAnsi="Arial Narrow"/>
        </w:rPr>
        <w:t xml:space="preserve"> </w:t>
      </w:r>
    </w:p>
    <w:p w:rsidR="00191A44" w:rsidRPr="005E0816" w:rsidRDefault="00C5319C"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highlight w:val="yellow"/>
        </w:rPr>
        <w:t>9</w:t>
      </w:r>
      <w:r w:rsidRPr="005E0816">
        <w:rPr>
          <w:rFonts w:ascii="Arial Narrow" w:hAnsi="Arial Narrow"/>
          <w:b/>
          <w:bCs/>
          <w:highlight w:val="yellow"/>
        </w:rPr>
        <w:t xml:space="preserve">- </w:t>
      </w:r>
      <w:r w:rsidR="2A87C86B" w:rsidRPr="005E0816">
        <w:rPr>
          <w:rFonts w:ascii="Arial Narrow" w:hAnsi="Arial Narrow"/>
          <w:b/>
          <w:bCs/>
        </w:rPr>
        <w:t>T</w:t>
      </w:r>
      <w:r w:rsidR="00420310" w:rsidRPr="005E0816">
        <w:rPr>
          <w:rFonts w:ascii="Arial Narrow" w:hAnsi="Arial Narrow"/>
          <w:b/>
          <w:bCs/>
        </w:rPr>
        <w:t>reatment of animals as a group</w:t>
      </w:r>
      <w:r w:rsidR="3839A0E0" w:rsidRPr="005E0816">
        <w:rPr>
          <w:rFonts w:ascii="Arial Narrow" w:hAnsi="Arial Narrow"/>
          <w:b/>
          <w:bCs/>
        </w:rPr>
        <w:t xml:space="preserve"> is not necessary in modern farming practices in the EU</w:t>
      </w:r>
    </w:p>
    <w:p w:rsidR="003D601B" w:rsidRPr="00987FB5" w:rsidRDefault="00C14BF8" w:rsidP="000F21F9">
      <w:pPr>
        <w:jc w:val="both"/>
        <w:rPr>
          <w:rFonts w:ascii="Arial Narrow" w:hAnsi="Arial Narrow"/>
        </w:rPr>
      </w:pPr>
      <w:r w:rsidRPr="00987FB5">
        <w:rPr>
          <w:rFonts w:ascii="Arial Narrow" w:hAnsi="Arial Narrow"/>
          <w:highlight w:val="green"/>
        </w:rPr>
        <w:t>Fact -</w:t>
      </w:r>
      <w:r w:rsidRPr="00987FB5">
        <w:rPr>
          <w:rFonts w:ascii="Arial Narrow" w:hAnsi="Arial Narrow"/>
        </w:rPr>
        <w:t xml:space="preserve"> T</w:t>
      </w:r>
      <w:r w:rsidR="00191A44" w:rsidRPr="00987FB5">
        <w:rPr>
          <w:rFonts w:ascii="Arial Narrow" w:hAnsi="Arial Narrow"/>
        </w:rPr>
        <w:t xml:space="preserve">reatment of groups of animals through their </w:t>
      </w:r>
      <w:r w:rsidR="003D601B" w:rsidRPr="00987FB5">
        <w:rPr>
          <w:rFonts w:ascii="Arial Narrow" w:hAnsi="Arial Narrow"/>
        </w:rPr>
        <w:t xml:space="preserve">drinking water / </w:t>
      </w:r>
      <w:r w:rsidR="00191A44" w:rsidRPr="00987FB5">
        <w:rPr>
          <w:rFonts w:ascii="Arial Narrow" w:hAnsi="Arial Narrow"/>
        </w:rPr>
        <w:t xml:space="preserve">feed can be the </w:t>
      </w:r>
      <w:r w:rsidR="6B792A9F" w:rsidRPr="00987FB5">
        <w:rPr>
          <w:rFonts w:ascii="Arial Narrow" w:hAnsi="Arial Narrow"/>
        </w:rPr>
        <w:t>safest</w:t>
      </w:r>
      <w:r w:rsidR="00F346C7" w:rsidRPr="00987FB5">
        <w:rPr>
          <w:rFonts w:ascii="Arial Narrow" w:hAnsi="Arial Narrow"/>
        </w:rPr>
        <w:t xml:space="preserve"> and </w:t>
      </w:r>
      <w:r w:rsidR="68F29D8D" w:rsidRPr="00987FB5">
        <w:rPr>
          <w:rFonts w:ascii="Arial Narrow" w:hAnsi="Arial Narrow"/>
        </w:rPr>
        <w:t xml:space="preserve">most </w:t>
      </w:r>
      <w:r w:rsidR="00191A44" w:rsidRPr="00987FB5">
        <w:rPr>
          <w:rFonts w:ascii="Arial Narrow" w:hAnsi="Arial Narrow"/>
        </w:rPr>
        <w:t>effective treatment method.</w:t>
      </w:r>
      <w:r w:rsidR="00FB29C6" w:rsidRPr="00987FB5">
        <w:rPr>
          <w:rFonts w:ascii="Arial Narrow" w:hAnsi="Arial Narrow"/>
        </w:rPr>
        <w:t xml:space="preserve"> Regulati</w:t>
      </w:r>
      <w:r w:rsidR="00420310" w:rsidRPr="00987FB5">
        <w:rPr>
          <w:rFonts w:ascii="Arial Narrow" w:hAnsi="Arial Narrow"/>
        </w:rPr>
        <w:t>on 2019/4 on medicated feed</w:t>
      </w:r>
      <w:r w:rsidR="00FB29C6" w:rsidRPr="00987FB5">
        <w:rPr>
          <w:rFonts w:ascii="Arial Narrow" w:hAnsi="Arial Narrow"/>
        </w:rPr>
        <w:t xml:space="preserve"> introduces strict rules for the use of oral medication, via feed or water.</w:t>
      </w:r>
      <w:r w:rsidR="00191A44" w:rsidRPr="00987FB5">
        <w:rPr>
          <w:rFonts w:ascii="Arial Narrow" w:hAnsi="Arial Narrow"/>
        </w:rPr>
        <w:t xml:space="preserve"> </w:t>
      </w:r>
      <w:r w:rsidR="20937602" w:rsidRPr="00987FB5">
        <w:rPr>
          <w:rFonts w:ascii="Arial Narrow" w:hAnsi="Arial Narrow"/>
        </w:rPr>
        <w:t>Getting control of</w:t>
      </w:r>
      <w:r w:rsidR="00191A44" w:rsidRPr="00987FB5">
        <w:rPr>
          <w:rFonts w:ascii="Arial Narrow" w:hAnsi="Arial Narrow"/>
        </w:rPr>
        <w:t xml:space="preserve"> individual animals </w:t>
      </w:r>
      <w:r w:rsidR="7FE5E89A" w:rsidRPr="00987FB5">
        <w:rPr>
          <w:rFonts w:ascii="Arial Narrow" w:hAnsi="Arial Narrow"/>
        </w:rPr>
        <w:t xml:space="preserve">and injecting them </w:t>
      </w:r>
      <w:r w:rsidR="00191A44" w:rsidRPr="00987FB5">
        <w:rPr>
          <w:rFonts w:ascii="Arial Narrow" w:hAnsi="Arial Narrow"/>
        </w:rPr>
        <w:t>can be very stressful to the animal</w:t>
      </w:r>
      <w:r w:rsidR="00F346C7" w:rsidRPr="00987FB5">
        <w:rPr>
          <w:rFonts w:ascii="Arial Narrow" w:hAnsi="Arial Narrow"/>
        </w:rPr>
        <w:t>,</w:t>
      </w:r>
      <w:r w:rsidR="00191A44" w:rsidRPr="00987FB5">
        <w:rPr>
          <w:rFonts w:ascii="Arial Narrow" w:hAnsi="Arial Narrow"/>
        </w:rPr>
        <w:t xml:space="preserve"> especially if a course </w:t>
      </w:r>
      <w:r w:rsidR="7B47BA30" w:rsidRPr="00987FB5">
        <w:rPr>
          <w:rFonts w:ascii="Arial Narrow" w:hAnsi="Arial Narrow"/>
        </w:rPr>
        <w:t xml:space="preserve">of treatment </w:t>
      </w:r>
      <w:r w:rsidR="00191A44" w:rsidRPr="00987FB5">
        <w:rPr>
          <w:rFonts w:ascii="Arial Narrow" w:hAnsi="Arial Narrow"/>
        </w:rPr>
        <w:t xml:space="preserve">involving daily </w:t>
      </w:r>
      <w:r w:rsidR="6C9D212B" w:rsidRPr="00987FB5">
        <w:rPr>
          <w:rFonts w:ascii="Arial Narrow" w:hAnsi="Arial Narrow"/>
        </w:rPr>
        <w:t>dosage</w:t>
      </w:r>
      <w:r w:rsidR="00191A44" w:rsidRPr="00987FB5">
        <w:rPr>
          <w:rFonts w:ascii="Arial Narrow" w:hAnsi="Arial Narrow"/>
        </w:rPr>
        <w:t xml:space="preserve"> is needed. Hence this makes individual treatment impractical</w:t>
      </w:r>
      <w:r w:rsidRPr="00987FB5">
        <w:rPr>
          <w:rFonts w:ascii="Arial Narrow" w:hAnsi="Arial Narrow"/>
        </w:rPr>
        <w:t xml:space="preserve"> in EU modern farming</w:t>
      </w:r>
      <w:r w:rsidR="00191A44" w:rsidRPr="00987FB5">
        <w:rPr>
          <w:rFonts w:ascii="Arial Narrow" w:hAnsi="Arial Narrow"/>
        </w:rPr>
        <w:t>. It should be up to the vet</w:t>
      </w:r>
      <w:r w:rsidR="00420310" w:rsidRPr="00987FB5">
        <w:rPr>
          <w:rFonts w:ascii="Arial Narrow" w:hAnsi="Arial Narrow"/>
        </w:rPr>
        <w:t>erinarian</w:t>
      </w:r>
      <w:r w:rsidR="00191A44" w:rsidRPr="00987FB5">
        <w:rPr>
          <w:rFonts w:ascii="Arial Narrow" w:hAnsi="Arial Narrow"/>
        </w:rPr>
        <w:t xml:space="preserve"> to decide the optimum way to administer medication, which rem</w:t>
      </w:r>
      <w:r w:rsidR="00420310" w:rsidRPr="00987FB5">
        <w:rPr>
          <w:rFonts w:ascii="Arial Narrow" w:hAnsi="Arial Narrow"/>
        </w:rPr>
        <w:t>ains under veterinary control and</w:t>
      </w:r>
      <w:r w:rsidR="00191A44" w:rsidRPr="00987FB5">
        <w:rPr>
          <w:rFonts w:ascii="Arial Narrow" w:hAnsi="Arial Narrow"/>
        </w:rPr>
        <w:t xml:space="preserve"> prescription.</w:t>
      </w:r>
      <w:r w:rsidR="00FB29C6" w:rsidRPr="00987FB5">
        <w:rPr>
          <w:rFonts w:ascii="Arial Narrow" w:hAnsi="Arial Narrow"/>
        </w:rPr>
        <w:t xml:space="preserve"> </w:t>
      </w:r>
    </w:p>
    <w:p w:rsidR="00CD0D9C" w:rsidRPr="005E0816" w:rsidRDefault="00CD0D9C" w:rsidP="000F21F9">
      <w:pPr>
        <w:jc w:val="both"/>
        <w:rPr>
          <w:rFonts w:ascii="Arial Narrow" w:hAnsi="Arial Narrow"/>
          <w:b/>
          <w:bCs/>
        </w:rPr>
      </w:pPr>
      <w:r w:rsidRPr="005E0816">
        <w:rPr>
          <w:rFonts w:ascii="Arial Narrow" w:hAnsi="Arial Narrow"/>
          <w:b/>
          <w:bCs/>
          <w:highlight w:val="yellow"/>
        </w:rPr>
        <w:t xml:space="preserve">Myth </w:t>
      </w:r>
      <w:r w:rsidR="00987FB5" w:rsidRPr="005E0816">
        <w:rPr>
          <w:rFonts w:ascii="Arial Narrow" w:hAnsi="Arial Narrow"/>
          <w:b/>
          <w:bCs/>
          <w:highlight w:val="yellow"/>
        </w:rPr>
        <w:t>10</w:t>
      </w:r>
      <w:r w:rsidRPr="005E0816">
        <w:rPr>
          <w:rFonts w:ascii="Arial Narrow" w:hAnsi="Arial Narrow"/>
          <w:b/>
          <w:bCs/>
          <w:highlight w:val="yellow"/>
        </w:rPr>
        <w:t xml:space="preserve"> </w:t>
      </w:r>
      <w:r w:rsidRPr="005E0816">
        <w:rPr>
          <w:rFonts w:ascii="Arial Narrow" w:hAnsi="Arial Narrow"/>
          <w:b/>
          <w:bCs/>
        </w:rPr>
        <w:t>– We have to set a target for zero use of antibiotics in animals.</w:t>
      </w:r>
    </w:p>
    <w:p w:rsidR="00CD0D9C" w:rsidRPr="00987FB5" w:rsidRDefault="00CD0D9C" w:rsidP="000F21F9">
      <w:pPr>
        <w:jc w:val="both"/>
        <w:rPr>
          <w:rFonts w:ascii="Arial Narrow" w:hAnsi="Arial Narrow"/>
        </w:rPr>
      </w:pPr>
      <w:r w:rsidRPr="00987FB5">
        <w:rPr>
          <w:rFonts w:ascii="Arial Narrow" w:hAnsi="Arial Narrow"/>
          <w:highlight w:val="green"/>
        </w:rPr>
        <w:t xml:space="preserve">Fact – </w:t>
      </w:r>
      <w:r w:rsidRPr="00987FB5">
        <w:rPr>
          <w:rFonts w:ascii="Arial Narrow" w:hAnsi="Arial Narrow"/>
        </w:rPr>
        <w:t>The target should</w:t>
      </w:r>
      <w:r w:rsidR="0012561E" w:rsidRPr="00987FB5">
        <w:rPr>
          <w:rFonts w:ascii="Arial Narrow" w:hAnsi="Arial Narrow"/>
        </w:rPr>
        <w:t xml:space="preserve"> be</w:t>
      </w:r>
      <w:r w:rsidRPr="00987FB5">
        <w:rPr>
          <w:rFonts w:ascii="Arial Narrow" w:hAnsi="Arial Narrow"/>
        </w:rPr>
        <w:t xml:space="preserve"> the reduction of antibiotic resistance and not the </w:t>
      </w:r>
      <w:r w:rsidR="0012561E" w:rsidRPr="00987FB5">
        <w:rPr>
          <w:rFonts w:ascii="Arial Narrow" w:hAnsi="Arial Narrow"/>
        </w:rPr>
        <w:t>zero use</w:t>
      </w:r>
      <w:r w:rsidRPr="00987FB5">
        <w:rPr>
          <w:rFonts w:ascii="Arial Narrow" w:hAnsi="Arial Narrow"/>
        </w:rPr>
        <w:t xml:space="preserve"> of antibiotics in animals or in people. Antibiotics must be available when needed and be used prudently and responsible in both animals and humans, following a diagnosis and a prescription by a veterinarian (in animals) or a doctor (in humans), who need these tools to control infections and stop the spread of disease.   </w:t>
      </w:r>
    </w:p>
    <w:sectPr w:rsidR="00CD0D9C" w:rsidRPr="00987FB5" w:rsidSect="000F21F9">
      <w:pgSz w:w="12240" w:h="15840"/>
      <w:pgMar w:top="1417" w:right="146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683" w:rsidRDefault="002B1683" w:rsidP="0012561E">
      <w:pPr>
        <w:spacing w:after="0" w:line="240" w:lineRule="auto"/>
      </w:pPr>
      <w:r>
        <w:separator/>
      </w:r>
    </w:p>
  </w:endnote>
  <w:endnote w:type="continuationSeparator" w:id="0">
    <w:p w:rsidR="002B1683" w:rsidRDefault="002B1683" w:rsidP="0012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683" w:rsidRDefault="002B1683" w:rsidP="0012561E">
      <w:pPr>
        <w:spacing w:after="0" w:line="240" w:lineRule="auto"/>
      </w:pPr>
      <w:r>
        <w:separator/>
      </w:r>
    </w:p>
  </w:footnote>
  <w:footnote w:type="continuationSeparator" w:id="0">
    <w:p w:rsidR="002B1683" w:rsidRDefault="002B1683" w:rsidP="00125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44"/>
    <w:rsid w:val="000730F7"/>
    <w:rsid w:val="000F21F9"/>
    <w:rsid w:val="0012561E"/>
    <w:rsid w:val="00152BD7"/>
    <w:rsid w:val="00154013"/>
    <w:rsid w:val="00187A60"/>
    <w:rsid w:val="00191A44"/>
    <w:rsid w:val="001A0567"/>
    <w:rsid w:val="002410F8"/>
    <w:rsid w:val="002B1683"/>
    <w:rsid w:val="002D1198"/>
    <w:rsid w:val="0034281A"/>
    <w:rsid w:val="003A29D1"/>
    <w:rsid w:val="003D601B"/>
    <w:rsid w:val="00417286"/>
    <w:rsid w:val="00420310"/>
    <w:rsid w:val="0045209F"/>
    <w:rsid w:val="004F4814"/>
    <w:rsid w:val="00527DFD"/>
    <w:rsid w:val="005537EF"/>
    <w:rsid w:val="005771FB"/>
    <w:rsid w:val="0059123E"/>
    <w:rsid w:val="005D0CC9"/>
    <w:rsid w:val="005E0816"/>
    <w:rsid w:val="00816D22"/>
    <w:rsid w:val="008950FE"/>
    <w:rsid w:val="00987FB5"/>
    <w:rsid w:val="009D2474"/>
    <w:rsid w:val="00AF5CBF"/>
    <w:rsid w:val="00BC3ED6"/>
    <w:rsid w:val="00C14BF8"/>
    <w:rsid w:val="00C43A45"/>
    <w:rsid w:val="00C5319C"/>
    <w:rsid w:val="00CD0D9C"/>
    <w:rsid w:val="00CF7EAC"/>
    <w:rsid w:val="00D2461C"/>
    <w:rsid w:val="00D2506C"/>
    <w:rsid w:val="00D41140"/>
    <w:rsid w:val="00D61FE8"/>
    <w:rsid w:val="00D87792"/>
    <w:rsid w:val="00DE43AC"/>
    <w:rsid w:val="00E144D5"/>
    <w:rsid w:val="00F346C7"/>
    <w:rsid w:val="00F83906"/>
    <w:rsid w:val="00FB29C6"/>
    <w:rsid w:val="041B86BE"/>
    <w:rsid w:val="055220DA"/>
    <w:rsid w:val="0707F6CB"/>
    <w:rsid w:val="07E3E94E"/>
    <w:rsid w:val="0928D9F0"/>
    <w:rsid w:val="0FF027C5"/>
    <w:rsid w:val="128F6991"/>
    <w:rsid w:val="147BCB7B"/>
    <w:rsid w:val="15048540"/>
    <w:rsid w:val="15376614"/>
    <w:rsid w:val="15FA786B"/>
    <w:rsid w:val="19B6B39B"/>
    <w:rsid w:val="1C828C4F"/>
    <w:rsid w:val="1EB32764"/>
    <w:rsid w:val="1F883254"/>
    <w:rsid w:val="200E3915"/>
    <w:rsid w:val="20937602"/>
    <w:rsid w:val="213DD681"/>
    <w:rsid w:val="22D9A6E2"/>
    <w:rsid w:val="23FAB70A"/>
    <w:rsid w:val="262C5EE0"/>
    <w:rsid w:val="2A87C86B"/>
    <w:rsid w:val="32957020"/>
    <w:rsid w:val="36D95541"/>
    <w:rsid w:val="37F08121"/>
    <w:rsid w:val="3839A0E0"/>
    <w:rsid w:val="3A689FDF"/>
    <w:rsid w:val="406BE13F"/>
    <w:rsid w:val="4247AFC7"/>
    <w:rsid w:val="453F5262"/>
    <w:rsid w:val="4DCF61EF"/>
    <w:rsid w:val="5563A6C9"/>
    <w:rsid w:val="569CF1C6"/>
    <w:rsid w:val="570BBA70"/>
    <w:rsid w:val="57DAC631"/>
    <w:rsid w:val="5A0B19E7"/>
    <w:rsid w:val="5E3F9EDE"/>
    <w:rsid w:val="68F29D8D"/>
    <w:rsid w:val="68FBB6CE"/>
    <w:rsid w:val="6B792A9F"/>
    <w:rsid w:val="6C9D212B"/>
    <w:rsid w:val="705BFF96"/>
    <w:rsid w:val="715DAA07"/>
    <w:rsid w:val="72239295"/>
    <w:rsid w:val="7B1E8EA2"/>
    <w:rsid w:val="7B47BA30"/>
    <w:rsid w:val="7B49BD65"/>
    <w:rsid w:val="7FE5E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923E"/>
  <w15:docId w15:val="{080153E4-6476-4466-A51D-36B6BAA0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123E"/>
    <w:rPr>
      <w:color w:val="0000FF"/>
      <w:u w:val="single"/>
    </w:rPr>
  </w:style>
  <w:style w:type="paragraph" w:styleId="Korrektur">
    <w:name w:val="Revision"/>
    <w:hidden/>
    <w:uiPriority w:val="99"/>
    <w:semiHidden/>
    <w:rsid w:val="00154013"/>
    <w:pPr>
      <w:spacing w:after="0" w:line="240" w:lineRule="auto"/>
    </w:pPr>
  </w:style>
  <w:style w:type="character" w:customStyle="1" w:styleId="UnresolvedMention1">
    <w:name w:val="Unresolved Mention1"/>
    <w:basedOn w:val="Standardskrifttypeiafsnit"/>
    <w:uiPriority w:val="99"/>
    <w:semiHidden/>
    <w:unhideWhenUsed/>
    <w:rsid w:val="00AF5CBF"/>
    <w:rPr>
      <w:color w:val="605E5C"/>
      <w:shd w:val="clear" w:color="auto" w:fill="E1DFDD"/>
    </w:rPr>
  </w:style>
  <w:style w:type="character" w:styleId="Kommentarhenvisning">
    <w:name w:val="annotation reference"/>
    <w:basedOn w:val="Standardskrifttypeiafsnit"/>
    <w:uiPriority w:val="99"/>
    <w:semiHidden/>
    <w:unhideWhenUsed/>
    <w:rsid w:val="003A29D1"/>
    <w:rPr>
      <w:sz w:val="16"/>
      <w:szCs w:val="16"/>
    </w:rPr>
  </w:style>
  <w:style w:type="paragraph" w:styleId="Kommentartekst">
    <w:name w:val="annotation text"/>
    <w:basedOn w:val="Normal"/>
    <w:link w:val="KommentartekstTegn"/>
    <w:uiPriority w:val="99"/>
    <w:semiHidden/>
    <w:unhideWhenUsed/>
    <w:rsid w:val="003A29D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A29D1"/>
    <w:rPr>
      <w:sz w:val="20"/>
      <w:szCs w:val="20"/>
    </w:rPr>
  </w:style>
  <w:style w:type="paragraph" w:styleId="Kommentaremne">
    <w:name w:val="annotation subject"/>
    <w:basedOn w:val="Kommentartekst"/>
    <w:next w:val="Kommentartekst"/>
    <w:link w:val="KommentaremneTegn"/>
    <w:uiPriority w:val="99"/>
    <w:semiHidden/>
    <w:unhideWhenUsed/>
    <w:rsid w:val="003A29D1"/>
    <w:rPr>
      <w:b/>
      <w:bCs/>
    </w:rPr>
  </w:style>
  <w:style w:type="character" w:customStyle="1" w:styleId="KommentaremneTegn">
    <w:name w:val="Kommentaremne Tegn"/>
    <w:basedOn w:val="KommentartekstTegn"/>
    <w:link w:val="Kommentaremne"/>
    <w:uiPriority w:val="99"/>
    <w:semiHidden/>
    <w:rsid w:val="003A29D1"/>
    <w:rPr>
      <w:b/>
      <w:bCs/>
      <w:sz w:val="20"/>
      <w:szCs w:val="20"/>
    </w:rPr>
  </w:style>
  <w:style w:type="paragraph" w:styleId="Markeringsbobletekst">
    <w:name w:val="Balloon Text"/>
    <w:basedOn w:val="Normal"/>
    <w:link w:val="MarkeringsbobletekstTegn"/>
    <w:uiPriority w:val="99"/>
    <w:semiHidden/>
    <w:unhideWhenUsed/>
    <w:rsid w:val="00816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6D22"/>
    <w:rPr>
      <w:rFonts w:ascii="Tahoma" w:hAnsi="Tahoma" w:cs="Tahoma"/>
      <w:sz w:val="16"/>
      <w:szCs w:val="16"/>
    </w:rPr>
  </w:style>
  <w:style w:type="character" w:styleId="Ulstomtale">
    <w:name w:val="Unresolved Mention"/>
    <w:basedOn w:val="Standardskrifttypeiafsnit"/>
    <w:uiPriority w:val="99"/>
    <w:semiHidden/>
    <w:unhideWhenUsed/>
    <w:rsid w:val="00F83906"/>
    <w:rPr>
      <w:color w:val="605E5C"/>
      <w:shd w:val="clear" w:color="auto" w:fill="E1DFDD"/>
    </w:rPr>
  </w:style>
  <w:style w:type="character" w:styleId="BesgtLink">
    <w:name w:val="FollowedHyperlink"/>
    <w:basedOn w:val="Standardskrifttypeiafsnit"/>
    <w:uiPriority w:val="99"/>
    <w:semiHidden/>
    <w:unhideWhenUsed/>
    <w:rsid w:val="00BC3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PDF/?uri=CELEX:32007R0834&amp;from=E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ur-lex.europa.eu/legal-content/EN/TXT/PDF/?uri=CELEX:32008R0889&amp;fr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europa.eu/en/veterinary-regulatory/research-development/maximum-residue-limits-mrl" TargetMode="External"/><Relationship Id="rId5" Type="http://schemas.openxmlformats.org/officeDocument/2006/relationships/settings" Target="settings.xml"/><Relationship Id="rId15" Type="http://schemas.openxmlformats.org/officeDocument/2006/relationships/hyperlink" Target="file:///C:\Users\Despoina\AppData\Local\Microsoft\Windows\INetCache\Content.Outlook\M1JEHRZE\the%20'Treaty%20on%20the%20Functioning%20of%20the%20European%20Union'%20(TFEU)%20and%20introduced%20the%20recognition%20that%20animals%20are%20sentient%20beings.%20Article%2013%20of%20Title%20II%20states%20that:" TargetMode="External"/><Relationship Id="rId10" Type="http://schemas.openxmlformats.org/officeDocument/2006/relationships/hyperlink" Target="https://www.who.int/news-room/fact-sheets/detail/antimicrobial-resistance" TargetMode="External"/><Relationship Id="rId4" Type="http://schemas.openxmlformats.org/officeDocument/2006/relationships/styles" Target="styles.xml"/><Relationship Id="rId9" Type="http://schemas.openxmlformats.org/officeDocument/2006/relationships/hyperlink" Target="https://www.thelancet.com/journals/laninf/article/PIIS1473-3099(18)30605-4/fulltext" TargetMode="External"/><Relationship Id="rId14" Type="http://schemas.openxmlformats.org/officeDocument/2006/relationships/hyperlink" Target="https://eur-lex.europa.eu/legal-content/EN/TXT/?uri=CELEX:02016R0429-201912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1209F53F16B48911C8CE2D3B4B105" ma:contentTypeVersion="12" ma:contentTypeDescription="Opret et nyt dokument." ma:contentTypeScope="" ma:versionID="8d47aefc65cae3150712f736efbca9b8">
  <xsd:schema xmlns:xsd="http://www.w3.org/2001/XMLSchema" xmlns:xs="http://www.w3.org/2001/XMLSchema" xmlns:p="http://schemas.microsoft.com/office/2006/metadata/properties" xmlns:ns2="2c833be0-e8de-4281-87d5-729280c3b62e" xmlns:ns3="12a68df5-6448-4d5a-ad6f-1c7c0726c0f6" targetNamespace="http://schemas.microsoft.com/office/2006/metadata/properties" ma:root="true" ma:fieldsID="cc040e5164733f70969b8b9689074a80" ns2:_="" ns3:_="">
    <xsd:import namespace="2c833be0-e8de-4281-87d5-729280c3b62e"/>
    <xsd:import namespace="12a68df5-6448-4d5a-ad6f-1c7c0726c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33be0-e8de-4281-87d5-729280c3b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68df5-6448-4d5a-ad6f-1c7c0726c0f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4D558-16B8-421E-8709-7D7E63A4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33be0-e8de-4281-87d5-729280c3b62e"/>
    <ds:schemaRef ds:uri="12a68df5-6448-4d5a-ad6f-1c7c0726c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6E32-908D-4590-A485-75B72A182475}">
  <ds:schemaRefs>
    <ds:schemaRef ds:uri="http://schemas.microsoft.com/sharepoint/v3/contenttype/forms"/>
  </ds:schemaRefs>
</ds:datastoreItem>
</file>

<file path=customXml/itemProps3.xml><?xml version="1.0" encoding="utf-8"?>
<ds:datastoreItem xmlns:ds="http://schemas.openxmlformats.org/officeDocument/2006/customXml" ds:itemID="{03E8CFDB-F626-4286-8A54-B2B3355C4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Vecino</dc:creator>
  <cp:lastModifiedBy>Pia Rindom</cp:lastModifiedBy>
  <cp:revision>1</cp:revision>
  <cp:lastPrinted>2021-07-28T09:30:00Z</cp:lastPrinted>
  <dcterms:created xsi:type="dcterms:W3CDTF">2022-02-14T17:33:00Z</dcterms:created>
  <dcterms:modified xsi:type="dcterms:W3CDTF">2022-02-14T17:33:00Z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2021-08-19T16:28:37Z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4a3df25b-143d-4b24-901c-41b3e696f8d8</vt:lpwstr>
  </property>
  <property fmtid="{D5CDD505-2E9C-101B-9397-08002B2CF9AE}" pid="8" name="MSIP_Label_e81acc0d-dcc4-4dc9-a2c5-be70b05a2fe6_ContentBits">
    <vt:lpwstr>0</vt:lpwstr>
  </property>
  <property fmtid="{D5CDD505-2E9C-101B-9397-08002B2CF9AE}" pid="9" name="_NewReviewCycle">
    <vt:lpwstr/>
  </property>
  <property fmtid="{D5CDD505-2E9C-101B-9397-08002B2CF9AE}" pid="10" name="ContentTypeId">
    <vt:lpwstr>0x0101000061209F53F16B48911C8CE2D3B4B105</vt:lpwstr>
  </property>
</Properties>
</file>