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891" w:rsidRPr="00F62795" w:rsidRDefault="00DB0891" w:rsidP="00DB0891">
      <w:pPr>
        <w:rPr>
          <w:b/>
          <w:sz w:val="28"/>
          <w:lang w:val="en-US"/>
        </w:rPr>
      </w:pPr>
      <w:proofErr w:type="spellStart"/>
      <w:r w:rsidRPr="00F62795">
        <w:rPr>
          <w:b/>
          <w:sz w:val="28"/>
          <w:lang w:val="en-US"/>
        </w:rPr>
        <w:t>Oversigt</w:t>
      </w:r>
      <w:proofErr w:type="spellEnd"/>
      <w:r w:rsidRPr="00F62795">
        <w:rPr>
          <w:b/>
          <w:sz w:val="28"/>
          <w:lang w:val="en-US"/>
        </w:rPr>
        <w:t xml:space="preserve"> over Medicated Feed Regulation EC/2019/4: 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829"/>
        <w:gridCol w:w="5250"/>
        <w:gridCol w:w="1139"/>
        <w:gridCol w:w="2672"/>
        <w:gridCol w:w="2309"/>
        <w:gridCol w:w="1227"/>
      </w:tblGrid>
      <w:tr w:rsidR="003F522F" w:rsidTr="000A0D28">
        <w:tc>
          <w:tcPr>
            <w:tcW w:w="309" w:type="pct"/>
          </w:tcPr>
          <w:p w:rsidR="00425780" w:rsidRPr="000D5E0C" w:rsidRDefault="00425780" w:rsidP="00425780">
            <w:pPr>
              <w:rPr>
                <w:b/>
              </w:rPr>
            </w:pPr>
            <w:r w:rsidRPr="000D5E0C">
              <w:rPr>
                <w:b/>
              </w:rPr>
              <w:t>Artikel nr.</w:t>
            </w:r>
          </w:p>
        </w:tc>
        <w:tc>
          <w:tcPr>
            <w:tcW w:w="1955" w:type="pct"/>
          </w:tcPr>
          <w:p w:rsidR="00425780" w:rsidRPr="000D5E0C" w:rsidRDefault="00425780" w:rsidP="00425780">
            <w:pPr>
              <w:rPr>
                <w:b/>
              </w:rPr>
            </w:pPr>
            <w:r w:rsidRPr="000D5E0C">
              <w:rPr>
                <w:b/>
              </w:rPr>
              <w:t>Artikel tekst</w:t>
            </w:r>
          </w:p>
        </w:tc>
        <w:tc>
          <w:tcPr>
            <w:tcW w:w="424" w:type="pct"/>
          </w:tcPr>
          <w:p w:rsidR="00425780" w:rsidRPr="000D5E0C" w:rsidRDefault="00425780" w:rsidP="00425780">
            <w:pPr>
              <w:rPr>
                <w:b/>
              </w:rPr>
            </w:pPr>
            <w:r w:rsidRPr="000D5E0C">
              <w:rPr>
                <w:b/>
              </w:rPr>
              <w:t>Hvem har det betydning for?</w:t>
            </w:r>
          </w:p>
        </w:tc>
        <w:tc>
          <w:tcPr>
            <w:tcW w:w="995" w:type="pct"/>
          </w:tcPr>
          <w:p w:rsidR="00425780" w:rsidRPr="000D5E0C" w:rsidRDefault="00425780" w:rsidP="00425780">
            <w:pPr>
              <w:rPr>
                <w:b/>
              </w:rPr>
            </w:pPr>
            <w:r>
              <w:rPr>
                <w:b/>
              </w:rPr>
              <w:t>Kommentarer og s</w:t>
            </w:r>
            <w:r w:rsidRPr="000D5E0C">
              <w:rPr>
                <w:b/>
              </w:rPr>
              <w:t>pørgsmål</w:t>
            </w:r>
            <w:r>
              <w:rPr>
                <w:b/>
              </w:rPr>
              <w:t xml:space="preserve"> til FVST</w:t>
            </w:r>
            <w:r w:rsidRPr="000D5E0C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Pr="00E77277">
              <w:rPr>
                <w:b/>
                <w:highlight w:val="yellow"/>
              </w:rPr>
              <w:t>Tilføj gerne.</w:t>
            </w:r>
          </w:p>
        </w:tc>
        <w:tc>
          <w:tcPr>
            <w:tcW w:w="860" w:type="pct"/>
          </w:tcPr>
          <w:p w:rsidR="00425780" w:rsidRDefault="00425780" w:rsidP="00425780">
            <w:pPr>
              <w:rPr>
                <w:b/>
              </w:rPr>
            </w:pPr>
            <w:r>
              <w:rPr>
                <w:b/>
              </w:rPr>
              <w:t>Øvrige retsakter?</w:t>
            </w:r>
          </w:p>
          <w:p w:rsidR="00425780" w:rsidRPr="000D5E0C" w:rsidRDefault="00425780" w:rsidP="00425780">
            <w:pPr>
              <w:rPr>
                <w:b/>
              </w:rPr>
            </w:pPr>
          </w:p>
        </w:tc>
        <w:tc>
          <w:tcPr>
            <w:tcW w:w="458" w:type="pct"/>
          </w:tcPr>
          <w:p w:rsidR="00425780" w:rsidRDefault="00425780" w:rsidP="00425780">
            <w:pPr>
              <w:rPr>
                <w:b/>
              </w:rPr>
            </w:pPr>
            <w:r>
              <w:rPr>
                <w:b/>
              </w:rPr>
              <w:t>Øvrige retsakter?</w:t>
            </w:r>
          </w:p>
          <w:p w:rsidR="00425780" w:rsidRPr="000D5E0C" w:rsidRDefault="00425780" w:rsidP="00425780">
            <w:pPr>
              <w:rPr>
                <w:b/>
              </w:rPr>
            </w:pPr>
            <w:r>
              <w:rPr>
                <w:b/>
              </w:rPr>
              <w:t>– status februar 2020</w:t>
            </w:r>
          </w:p>
        </w:tc>
      </w:tr>
      <w:tr w:rsidR="003F522F" w:rsidTr="000A0D28">
        <w:tc>
          <w:tcPr>
            <w:tcW w:w="309" w:type="pct"/>
          </w:tcPr>
          <w:p w:rsidR="00425780" w:rsidRDefault="00425780" w:rsidP="00425780">
            <w:r>
              <w:t>16</w:t>
            </w:r>
          </w:p>
        </w:tc>
        <w:tc>
          <w:tcPr>
            <w:tcW w:w="1955" w:type="pct"/>
          </w:tcPr>
          <w:p w:rsidR="00425780" w:rsidRDefault="00425780" w:rsidP="00425780">
            <w:r>
              <w:t xml:space="preserve">Ordinering </w:t>
            </w:r>
          </w:p>
          <w:p w:rsidR="00FB5053" w:rsidRDefault="00FB5053" w:rsidP="00425780">
            <w:r>
              <w:t xml:space="preserve">2. En dyrlægerecept på et foderlægemiddel må kun udstedes </w:t>
            </w:r>
            <w:r w:rsidRPr="00FB5053">
              <w:rPr>
                <w:u w:val="single"/>
              </w:rPr>
              <w:t>efter en klinisk undersøgelse eller en anden passende vurdering af dyrets eller dyregruppens sundhedstilstand foretaget af en dyrlæge og kun for en diagnosticeret sygdom</w:t>
            </w:r>
            <w:r>
              <w:t xml:space="preserve">. 3. Uanset stk. 2 kan der udstedes en dyrlægerecept for foderlægemidler indeholdende immunologiske veterinærlægemidler, også uden at der foreligger en diagnosticeret sygdom. </w:t>
            </w:r>
          </w:p>
          <w:p w:rsidR="00FB5053" w:rsidRDefault="00FB5053" w:rsidP="00425780">
            <w:pPr>
              <w:rPr>
                <w:u w:val="single"/>
              </w:rPr>
            </w:pPr>
            <w:r>
              <w:t xml:space="preserve">4. Uanset stk. 2 kan der, hvis det ikke er muligt at bekræfte tilstedeværelsen af en diagnosticeret sygdom, udstedes en dyrlægerecept for foderlægemidler, der indeholder </w:t>
            </w:r>
            <w:r w:rsidRPr="00FB5053">
              <w:rPr>
                <w:u w:val="single"/>
              </w:rPr>
              <w:t>antiparasitære lægemidler uden antimikrobielle virkninger på grundlag af viden om parasitangrebets omfang hos dyret eller gruppen af dyr.</w:t>
            </w:r>
          </w:p>
          <w:p w:rsidR="00665059" w:rsidRDefault="00665059" w:rsidP="00425780">
            <w:r>
              <w:t xml:space="preserve">7. En og samme dyrlægerecept på et foderlægemiddel må kun anvendes til en enkelt behandling, bortset fra når det drejer sig om dyr, der ikke anvendes i fødevareproduktionen, som ikke er pelsdyr. </w:t>
            </w:r>
          </w:p>
          <w:p w:rsidR="00665059" w:rsidRDefault="00665059" w:rsidP="00425780">
            <w:r w:rsidRPr="00665059">
              <w:rPr>
                <w:u w:val="single"/>
              </w:rPr>
              <w:t>Varigheden af en behandling skal være i overensstemmelse med produktresuméet for det veterinærlægemiddel</w:t>
            </w:r>
            <w:r>
              <w:t>, der er inkorporeret i foderet, og må, hvis det ikke er angivet, ikke overstige en måned eller to uger, hvis der er tale om foderlægemidler, der indeholder antibiotiske veterinærlægemidler.</w:t>
            </w:r>
          </w:p>
          <w:p w:rsidR="003E107D" w:rsidRDefault="003E107D" w:rsidP="00425780">
            <w:r>
              <w:t xml:space="preserve">10. Dyrlægerecepten på et foderlægemiddel skal: a) </w:t>
            </w:r>
            <w:r w:rsidRPr="003E107D">
              <w:rPr>
                <w:u w:val="single"/>
              </w:rPr>
              <w:t>være i overensstemmelse med veterinærlægemidlets produktresumé</w:t>
            </w:r>
            <w:r>
              <w:t xml:space="preserve">, bortset fra når der er tale om veterinærlægemidler, der er beregnet til anvendelse i overensstemmelse med artikel 112, artikel 113 eller artikel 114 i forordning (EU) 2019/6. </w:t>
            </w:r>
          </w:p>
          <w:p w:rsidR="003E107D" w:rsidRDefault="003F522F" w:rsidP="00425780">
            <w:r>
              <w:t>12. Kommissionen kan ved hjælp af gennemførelsesretsakter fastsætte en model for formatet for de oplysninger, der er fastsat i bilag V. Denne model skal også stilles til rådighed i elektronisk udgave. Disse gennemførelsesretsakter vedtages efter undersøgelsesprocedure, jf. artikel 21, stk. 2.</w:t>
            </w:r>
          </w:p>
          <w:p w:rsidR="00FB5053" w:rsidRDefault="00FB5053" w:rsidP="00425780"/>
        </w:tc>
        <w:tc>
          <w:tcPr>
            <w:tcW w:w="424" w:type="pct"/>
          </w:tcPr>
          <w:p w:rsidR="00425780" w:rsidRDefault="00425780" w:rsidP="00425780">
            <w:r>
              <w:t xml:space="preserve">Alle </w:t>
            </w:r>
          </w:p>
        </w:tc>
        <w:tc>
          <w:tcPr>
            <w:tcW w:w="995" w:type="pct"/>
          </w:tcPr>
          <w:p w:rsidR="004C6637" w:rsidRDefault="004C6637" w:rsidP="00425780">
            <w:r>
              <w:t xml:space="preserve">Recepter på foderlægemidler kan kun udstedes på basis af en diagnose ved en dyrlæge, undt. immunologiske lægemidler og antiparasitære lægemidler (uden antimikrobielle virkninger) </w:t>
            </w:r>
          </w:p>
          <w:p w:rsidR="004C6637" w:rsidRDefault="004C6637" w:rsidP="00425780"/>
          <w:p w:rsidR="00864827" w:rsidRDefault="00F165F6" w:rsidP="00425780">
            <w:r>
              <w:t xml:space="preserve">Recepter </w:t>
            </w:r>
            <w:r w:rsidR="00864827">
              <w:t xml:space="preserve">på foderlægemidler </w:t>
            </w:r>
            <w:r>
              <w:t xml:space="preserve">må ikke genanvendes, når der er tale om </w:t>
            </w:r>
            <w:r w:rsidR="004444F8">
              <w:t>f</w:t>
            </w:r>
            <w:r w:rsidR="00864827">
              <w:t>ødevareproducerende dyr og pelsdyr.</w:t>
            </w:r>
          </w:p>
          <w:p w:rsidR="00425780" w:rsidRDefault="00864827" w:rsidP="00425780">
            <w:r>
              <w:t xml:space="preserve">Vi skal have afklaret helt præcist, om mink har forskellig status i denne forordning og i lægemiddelforordningen? </w:t>
            </w:r>
          </w:p>
          <w:p w:rsidR="00F165F6" w:rsidRDefault="00F165F6" w:rsidP="00425780"/>
          <w:p w:rsidR="00F165F6" w:rsidRDefault="00475A32" w:rsidP="00425780">
            <w:r>
              <w:t>Recepter er gyldige i 3 uger, når der er tale om produktionsdyr</w:t>
            </w:r>
            <w:r w:rsidR="004C6637">
              <w:t xml:space="preserve"> og pelsdyr</w:t>
            </w:r>
            <w:r>
              <w:t xml:space="preserve"> – og op til 6 mdr., når der er tale om andre dyr.</w:t>
            </w:r>
          </w:p>
          <w:p w:rsidR="003E107D" w:rsidRDefault="003E107D" w:rsidP="00425780"/>
          <w:p w:rsidR="003E107D" w:rsidRDefault="003E107D" w:rsidP="00425780">
            <w:r>
              <w:t xml:space="preserve">Recepten skal følge produktresumeet </w:t>
            </w:r>
            <w:r w:rsidR="000A5EE6">
              <w:t xml:space="preserve">bortset fra, hvis kaskadereglen anvendes. </w:t>
            </w:r>
          </w:p>
        </w:tc>
        <w:tc>
          <w:tcPr>
            <w:tcW w:w="860" w:type="pct"/>
          </w:tcPr>
          <w:p w:rsidR="00425780" w:rsidRDefault="003F522F" w:rsidP="00425780">
            <w:r>
              <w:t>Gennemførelsesretsakt vedr. formatet for recepter – status?</w:t>
            </w:r>
          </w:p>
        </w:tc>
        <w:tc>
          <w:tcPr>
            <w:tcW w:w="458" w:type="pct"/>
          </w:tcPr>
          <w:p w:rsidR="00425780" w:rsidRDefault="00425780" w:rsidP="00425780"/>
        </w:tc>
      </w:tr>
      <w:tr w:rsidR="003F522F" w:rsidTr="000A0D28">
        <w:tc>
          <w:tcPr>
            <w:tcW w:w="309" w:type="pct"/>
          </w:tcPr>
          <w:p w:rsidR="00425780" w:rsidRDefault="00FB5053" w:rsidP="00425780">
            <w:r>
              <w:t>17</w:t>
            </w:r>
          </w:p>
        </w:tc>
        <w:tc>
          <w:tcPr>
            <w:tcW w:w="1955" w:type="pct"/>
          </w:tcPr>
          <w:p w:rsidR="00425780" w:rsidRDefault="00E66E51" w:rsidP="00425780">
            <w:r w:rsidRPr="00E66E51">
              <w:t>Anvendelse af foderlægemidler</w:t>
            </w:r>
            <w:r w:rsidR="000A5EE6">
              <w:t xml:space="preserve">. </w:t>
            </w:r>
          </w:p>
          <w:p w:rsidR="00E66E51" w:rsidRDefault="000A5EE6" w:rsidP="00425780">
            <w:r>
              <w:t>3. Foderlægemidler, der indeholder</w:t>
            </w:r>
            <w:r w:rsidRPr="000A5EE6">
              <w:rPr>
                <w:u w:val="single"/>
              </w:rPr>
              <w:t xml:space="preserve"> antimikrobielle veterinærlægemidler</w:t>
            </w:r>
            <w:r>
              <w:t xml:space="preserve">, skal anvendes i overensstemmelse med artikel 107 i forordning (EU) 2019/6, undtagen hvad angår nævnte artikels stk. 3, </w:t>
            </w:r>
            <w:r w:rsidRPr="000A5EE6">
              <w:rPr>
                <w:u w:val="single"/>
              </w:rPr>
              <w:t>og må ikke anvendes til profylakse.</w:t>
            </w:r>
          </w:p>
        </w:tc>
        <w:tc>
          <w:tcPr>
            <w:tcW w:w="424" w:type="pct"/>
          </w:tcPr>
          <w:p w:rsidR="00425780" w:rsidRDefault="00E66E51" w:rsidP="00425780">
            <w:r>
              <w:t>Alle</w:t>
            </w:r>
          </w:p>
        </w:tc>
        <w:tc>
          <w:tcPr>
            <w:tcW w:w="995" w:type="pct"/>
          </w:tcPr>
          <w:p w:rsidR="00425780" w:rsidRDefault="00425780" w:rsidP="00425780"/>
        </w:tc>
        <w:tc>
          <w:tcPr>
            <w:tcW w:w="860" w:type="pct"/>
          </w:tcPr>
          <w:p w:rsidR="00425780" w:rsidRDefault="00425780" w:rsidP="00425780"/>
        </w:tc>
        <w:tc>
          <w:tcPr>
            <w:tcW w:w="458" w:type="pct"/>
          </w:tcPr>
          <w:p w:rsidR="00425780" w:rsidRDefault="00425780" w:rsidP="00425780"/>
        </w:tc>
      </w:tr>
      <w:tr w:rsidR="003F522F" w:rsidTr="000A0D28">
        <w:tc>
          <w:tcPr>
            <w:tcW w:w="309" w:type="pct"/>
          </w:tcPr>
          <w:p w:rsidR="00425780" w:rsidRDefault="00726C6A" w:rsidP="00425780">
            <w:r>
              <w:t>Bilag V</w:t>
            </w:r>
          </w:p>
        </w:tc>
        <w:tc>
          <w:tcPr>
            <w:tcW w:w="1955" w:type="pct"/>
          </w:tcPr>
          <w:p w:rsidR="00425780" w:rsidRDefault="00E66E51" w:rsidP="00425780">
            <w:r w:rsidRPr="00E66E51">
              <w:t>OPLYSNINGER, DER SKAL VÆRE INDEHOLDT I DYRLÆGERECEPTEN PÅ FODERLÆGEMIDLER, JF. ARTIKEL 16, STK. 6</w:t>
            </w:r>
          </w:p>
          <w:p w:rsidR="000A5EE6" w:rsidRDefault="000A5EE6" w:rsidP="000A5EE6">
            <w:r>
              <w:t xml:space="preserve">2. Udstedelsesdato, </w:t>
            </w:r>
            <w:r w:rsidRPr="000A5EE6">
              <w:rPr>
                <w:u w:val="single"/>
              </w:rPr>
              <w:t>et unikt receptnummer</w:t>
            </w:r>
            <w:r>
              <w:t>, receptens udløbsdato (hvis gyldighedsperioden er kortere end den, der er omhandlet i artikel 16, stk. 8), samt underskrift eller tilsvarende identifikation i elektronisk form af dyrlægen.</w:t>
            </w:r>
          </w:p>
          <w:p w:rsidR="000A5EE6" w:rsidRDefault="000A5EE6" w:rsidP="000A5EE6">
            <w:r>
              <w:t xml:space="preserve">3. Fulde navn og kontaktoplysninger for dyreholderen og </w:t>
            </w:r>
            <w:r w:rsidRPr="000A5EE6">
              <w:rPr>
                <w:u w:val="single"/>
              </w:rPr>
              <w:t>identifikationsnummeret på virksomheden</w:t>
            </w:r>
            <w:r>
              <w:t>, hvis det findes.</w:t>
            </w:r>
          </w:p>
          <w:p w:rsidR="00442AEA" w:rsidRDefault="00442AEA" w:rsidP="000A5EE6">
            <w:r>
              <w:t>7. Hvis veterinærlægemidlet ordineres i henhold til reglerne i artikel 107, stk. 4, artikel 112, 113 eller 114 i forordning (EU) 2019/6, en erklæring desangående.</w:t>
            </w:r>
          </w:p>
          <w:p w:rsidR="000A5EE6" w:rsidRDefault="000A5EE6" w:rsidP="000A5EE6"/>
        </w:tc>
        <w:tc>
          <w:tcPr>
            <w:tcW w:w="424" w:type="pct"/>
          </w:tcPr>
          <w:p w:rsidR="00425780" w:rsidRDefault="00E66E51" w:rsidP="00425780">
            <w:r>
              <w:t xml:space="preserve">Alle </w:t>
            </w:r>
          </w:p>
        </w:tc>
        <w:tc>
          <w:tcPr>
            <w:tcW w:w="995" w:type="pct"/>
          </w:tcPr>
          <w:p w:rsidR="00425780" w:rsidRDefault="00442AEA" w:rsidP="00425780">
            <w:r>
              <w:t xml:space="preserve">Hvordan sikrer vi, at foderstoffernes og evt. hjemmeblanderes recepter har unikke receptnumre? </w:t>
            </w:r>
          </w:p>
          <w:p w:rsidR="00442AEA" w:rsidRDefault="00442AEA" w:rsidP="00425780"/>
          <w:p w:rsidR="00442AEA" w:rsidRDefault="00442AEA" w:rsidP="00425780">
            <w:r>
              <w:t xml:space="preserve">Identifikationsnummer for virksomheden – skal det fortolkes som besætningsnummer pga. det nye </w:t>
            </w:r>
            <w:proofErr w:type="spellStart"/>
            <w:r>
              <w:t>VetStat</w:t>
            </w:r>
            <w:proofErr w:type="spellEnd"/>
            <w:r>
              <w:t>?</w:t>
            </w:r>
          </w:p>
          <w:p w:rsidR="00442AEA" w:rsidRDefault="00442AEA" w:rsidP="00425780"/>
          <w:p w:rsidR="00442AEA" w:rsidRDefault="00442AEA" w:rsidP="00425780">
            <w:r>
              <w:t>Vedr. artikel 107 stk.</w:t>
            </w:r>
            <w:r w:rsidR="00B5547E">
              <w:t xml:space="preserve"> </w:t>
            </w:r>
            <w:r>
              <w:t xml:space="preserve">4 i VMP forordningen: vedrører </w:t>
            </w:r>
            <w:proofErr w:type="spellStart"/>
            <w:r>
              <w:t>metafylaktisk</w:t>
            </w:r>
            <w:proofErr w:type="spellEnd"/>
            <w:r>
              <w:t xml:space="preserve"> anvendelse.</w:t>
            </w:r>
            <w:r w:rsidR="002174F3">
              <w:t xml:space="preserve"> Artikel 112-114 er kaskadereglen. </w:t>
            </w:r>
          </w:p>
          <w:p w:rsidR="00442AEA" w:rsidRDefault="00442AEA" w:rsidP="00425780">
            <w:r>
              <w:t xml:space="preserve">  </w:t>
            </w:r>
          </w:p>
        </w:tc>
        <w:tc>
          <w:tcPr>
            <w:tcW w:w="860" w:type="pct"/>
          </w:tcPr>
          <w:p w:rsidR="00425780" w:rsidRDefault="00425780" w:rsidP="00425780"/>
        </w:tc>
        <w:tc>
          <w:tcPr>
            <w:tcW w:w="458" w:type="pct"/>
          </w:tcPr>
          <w:p w:rsidR="00425780" w:rsidRDefault="00425780" w:rsidP="00425780"/>
        </w:tc>
      </w:tr>
    </w:tbl>
    <w:p w:rsidR="00DB0891" w:rsidRDefault="00DB0891" w:rsidP="00DB0891"/>
    <w:p w:rsidR="0098195B" w:rsidRDefault="0098195B"/>
    <w:sectPr w:rsidR="0098195B" w:rsidSect="00FB505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91"/>
    <w:rsid w:val="000A0D28"/>
    <w:rsid w:val="000A5EE6"/>
    <w:rsid w:val="00120AD9"/>
    <w:rsid w:val="002174F3"/>
    <w:rsid w:val="003E107D"/>
    <w:rsid w:val="003F522F"/>
    <w:rsid w:val="00425780"/>
    <w:rsid w:val="004427CD"/>
    <w:rsid w:val="00442AEA"/>
    <w:rsid w:val="004444F8"/>
    <w:rsid w:val="00475A32"/>
    <w:rsid w:val="004C6637"/>
    <w:rsid w:val="005113BC"/>
    <w:rsid w:val="00665059"/>
    <w:rsid w:val="006B29D7"/>
    <w:rsid w:val="00726C6A"/>
    <w:rsid w:val="00780B1F"/>
    <w:rsid w:val="00864827"/>
    <w:rsid w:val="008E78CF"/>
    <w:rsid w:val="0098195B"/>
    <w:rsid w:val="00B5547E"/>
    <w:rsid w:val="00BA3ABD"/>
    <w:rsid w:val="00CE2531"/>
    <w:rsid w:val="00DB0891"/>
    <w:rsid w:val="00E35086"/>
    <w:rsid w:val="00E66E51"/>
    <w:rsid w:val="00F165F6"/>
    <w:rsid w:val="00FB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B9DD"/>
  <w15:chartTrackingRefBased/>
  <w15:docId w15:val="{409DC438-5434-4D24-A9C4-819A0F2A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8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B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99F0-BA8C-4926-9831-6F0CAFF6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FSEK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 Pedersen Lund</dc:creator>
  <cp:keywords/>
  <dc:description/>
  <cp:lastModifiedBy>Pia Rindom</cp:lastModifiedBy>
  <cp:revision>1</cp:revision>
  <dcterms:created xsi:type="dcterms:W3CDTF">2022-02-14T15:59:00Z</dcterms:created>
  <dcterms:modified xsi:type="dcterms:W3CDTF">2022-02-14T15:59:00Z</dcterms:modified>
</cp:coreProperties>
</file>